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680F6">
      <w:pPr>
        <w:pageBreakBefore w:val="0"/>
        <w:kinsoku/>
        <w:wordWrap/>
        <w:overflowPunct/>
        <w:topLinePunct w:val="0"/>
        <w:bidi w:val="0"/>
        <w:spacing w:line="360" w:lineRule="auto"/>
        <w:ind w:left="0" w:leftChars="0" w:right="0" w:rightChars="0" w:firstLine="0" w:firstLineChars="0"/>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第二部分  采购需求</w:t>
      </w:r>
    </w:p>
    <w:p w14:paraId="417EF223">
      <w:pPr>
        <w:pStyle w:val="11"/>
        <w:keepNext w:val="0"/>
        <w:keepLines w:val="0"/>
        <w:pageBreakBefore w:val="0"/>
        <w:widowControl w:val="0"/>
        <w:numPr>
          <w:ilvl w:val="1"/>
          <w:numId w:val="1"/>
        </w:numPr>
        <w:tabs>
          <w:tab w:val="left" w:pos="640"/>
        </w:tabs>
        <w:kinsoku/>
        <w:wordWrap/>
        <w:overflowPunct/>
        <w:topLinePunct w:val="0"/>
        <w:autoSpaceDE/>
        <w:autoSpaceDN/>
        <w:bidi w:val="0"/>
        <w:adjustRightInd/>
        <w:snapToGri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rPr>
      </w:pPr>
      <w:bookmarkStart w:id="0" w:name="_Toc8045"/>
      <w:r>
        <w:rPr>
          <w:rFonts w:hint="eastAsia" w:ascii="宋体" w:hAnsi="宋体" w:eastAsia="宋体" w:cs="宋体"/>
          <w:b/>
          <w:color w:val="000000"/>
          <w:sz w:val="21"/>
          <w:szCs w:val="21"/>
          <w:highlight w:val="none"/>
        </w:rPr>
        <w:t>总则</w:t>
      </w:r>
      <w:bookmarkEnd w:id="0"/>
    </w:p>
    <w:p w14:paraId="3538D671">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val="0"/>
          <w:color w:val="000000"/>
          <w:kern w:val="28"/>
          <w:sz w:val="21"/>
          <w:szCs w:val="21"/>
          <w:highlight w:val="none"/>
        </w:rPr>
      </w:pPr>
      <w:r>
        <w:rPr>
          <w:rFonts w:hint="eastAsia" w:ascii="宋体" w:hAnsi="宋体" w:eastAsia="宋体" w:cs="宋体"/>
          <w:b w:val="0"/>
          <w:bCs w:val="0"/>
          <w:color w:val="000000"/>
          <w:sz w:val="21"/>
          <w:szCs w:val="21"/>
          <w:highlight w:val="none"/>
          <w:lang w:eastAsia="zh-CN"/>
        </w:rPr>
        <w:t>（一）</w:t>
      </w:r>
      <w:r>
        <w:rPr>
          <w:rFonts w:hint="eastAsia" w:ascii="宋体" w:hAnsi="宋体" w:eastAsia="宋体" w:cs="宋体"/>
          <w:b w:val="0"/>
          <w:bCs w:val="0"/>
          <w:color w:val="000000"/>
          <w:kern w:val="28"/>
          <w:sz w:val="21"/>
          <w:szCs w:val="21"/>
          <w:highlight w:val="none"/>
        </w:rPr>
        <w:t>本次采购的项目内容：</w:t>
      </w:r>
      <w:r>
        <w:rPr>
          <w:rFonts w:hint="eastAsia" w:ascii="宋体" w:hAnsi="宋体" w:cs="宋体"/>
          <w:b w:val="0"/>
          <w:bCs w:val="0"/>
          <w:color w:val="0000FF"/>
          <w:kern w:val="28"/>
          <w:sz w:val="21"/>
          <w:szCs w:val="21"/>
          <w:highlight w:val="none"/>
          <w:lang w:eastAsia="zh-CN"/>
        </w:rPr>
        <w:t>中山市人民医院202</w:t>
      </w:r>
      <w:r>
        <w:rPr>
          <w:rFonts w:hint="eastAsia" w:ascii="宋体" w:hAnsi="宋体" w:cs="宋体"/>
          <w:b w:val="0"/>
          <w:bCs w:val="0"/>
          <w:color w:val="0000FF"/>
          <w:kern w:val="28"/>
          <w:sz w:val="21"/>
          <w:szCs w:val="21"/>
          <w:highlight w:val="none"/>
          <w:lang w:val="en-US" w:eastAsia="zh-CN"/>
        </w:rPr>
        <w:t>6</w:t>
      </w:r>
      <w:r>
        <w:rPr>
          <w:rFonts w:hint="eastAsia" w:ascii="宋体" w:hAnsi="宋体" w:cs="宋体"/>
          <w:b w:val="0"/>
          <w:bCs w:val="0"/>
          <w:color w:val="0000FF"/>
          <w:kern w:val="28"/>
          <w:sz w:val="21"/>
          <w:szCs w:val="21"/>
          <w:highlight w:val="none"/>
          <w:lang w:eastAsia="zh-CN"/>
        </w:rPr>
        <w:t>年度计算机设备维保和综合布线项目</w:t>
      </w:r>
      <w:r>
        <w:rPr>
          <w:rFonts w:hint="eastAsia" w:ascii="宋体" w:hAnsi="宋体" w:eastAsia="宋体" w:cs="宋体"/>
          <w:b w:val="0"/>
          <w:bCs w:val="0"/>
          <w:color w:val="000000"/>
          <w:kern w:val="28"/>
          <w:sz w:val="21"/>
          <w:szCs w:val="21"/>
          <w:highlight w:val="none"/>
        </w:rPr>
        <w:t>。供应商必须对项目内全部内容进行报价，不允许只对项目内部分内容进行报价。</w:t>
      </w:r>
    </w:p>
    <w:p w14:paraId="1E6A59A7">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val="0"/>
          <w:color w:val="000000"/>
          <w:kern w:val="28"/>
          <w:sz w:val="21"/>
          <w:szCs w:val="21"/>
          <w:highlight w:val="none"/>
        </w:rPr>
      </w:pPr>
      <w:r>
        <w:rPr>
          <w:rFonts w:hint="eastAsia" w:ascii="宋体" w:hAnsi="宋体" w:eastAsia="宋体" w:cs="宋体"/>
          <w:b w:val="0"/>
          <w:bCs w:val="0"/>
          <w:color w:val="000000"/>
          <w:sz w:val="21"/>
          <w:szCs w:val="21"/>
          <w:highlight w:val="none"/>
          <w:lang w:eastAsia="zh-CN"/>
        </w:rPr>
        <w:t>（二）</w:t>
      </w:r>
      <w:r>
        <w:rPr>
          <w:rFonts w:hint="eastAsia" w:ascii="宋体" w:hAnsi="宋体" w:eastAsia="宋体" w:cs="宋体"/>
          <w:b w:val="0"/>
          <w:bCs w:val="0"/>
          <w:color w:val="000000"/>
          <w:kern w:val="28"/>
          <w:sz w:val="21"/>
          <w:szCs w:val="21"/>
          <w:highlight w:val="none"/>
        </w:rPr>
        <w:t>成交供应商不得再以任何方式转包或分包本项目。</w:t>
      </w:r>
    </w:p>
    <w:p w14:paraId="6E4A0357">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val="0"/>
          <w:color w:val="000000"/>
          <w:kern w:val="28"/>
          <w:sz w:val="21"/>
          <w:szCs w:val="21"/>
          <w:highlight w:val="none"/>
        </w:rPr>
      </w:pPr>
      <w:r>
        <w:rPr>
          <w:rFonts w:hint="eastAsia" w:ascii="宋体" w:hAnsi="宋体" w:eastAsia="宋体" w:cs="宋体"/>
          <w:b w:val="0"/>
          <w:bCs w:val="0"/>
          <w:color w:val="000000"/>
          <w:kern w:val="28"/>
          <w:sz w:val="21"/>
          <w:szCs w:val="21"/>
          <w:highlight w:val="none"/>
          <w:lang w:eastAsia="zh-CN"/>
        </w:rPr>
        <w:t>（三）</w:t>
      </w:r>
      <w:r>
        <w:rPr>
          <w:rFonts w:hint="eastAsia" w:ascii="宋体" w:hAnsi="宋体" w:eastAsia="宋体" w:cs="宋体"/>
          <w:b w:val="0"/>
          <w:bCs w:val="0"/>
          <w:color w:val="000000"/>
          <w:kern w:val="28"/>
          <w:sz w:val="21"/>
          <w:szCs w:val="21"/>
          <w:highlight w:val="none"/>
        </w:rPr>
        <w:t>磋商文件中凡标有“★”的地方均被视为重要的指标要求。供应商要特别加以注意，必须对此具体、明确响应并完全满足或优于这些要求。否则若有一项带“★”的指标未响应或不满足，将视为非实质性响应磋商文件要求。</w:t>
      </w:r>
    </w:p>
    <w:p w14:paraId="2834BCE9">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000000"/>
          <w:sz w:val="21"/>
          <w:szCs w:val="21"/>
          <w:highlight w:val="none"/>
          <w:lang w:eastAsia="zh-CN"/>
        </w:rPr>
        <w:t>（四）</w:t>
      </w:r>
      <w:r>
        <w:rPr>
          <w:rFonts w:hint="eastAsia" w:ascii="宋体" w:hAnsi="宋体" w:eastAsia="宋体" w:cs="宋体"/>
          <w:color w:val="auto"/>
          <w:kern w:val="2"/>
          <w:sz w:val="21"/>
          <w:szCs w:val="21"/>
          <w:highlight w:val="none"/>
          <w:lang w:val="en-US" w:eastAsia="zh-CN" w:bidi="ar-SA"/>
        </w:rPr>
        <w:t>在采购需求中凡标有“▲”标识的内容条款被视为可选的响应要求、技术指标要求和性能要求。作为评审时的重要技术参数（不作为无效投标条款），供应商必须对该标识的内容按照要求逐条进行真实应答详细描述，说明原因或偏离的相关内容。若低于磋商文件要求（负偏离）或未逐条描述的视为负偏离，将会影响评审得分。</w:t>
      </w:r>
    </w:p>
    <w:p w14:paraId="32B4D846">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val="0"/>
          <w:color w:val="000000"/>
          <w:kern w:val="28"/>
          <w:sz w:val="21"/>
          <w:szCs w:val="21"/>
          <w:highlight w:val="none"/>
          <w:lang w:eastAsia="zh-CN"/>
        </w:rPr>
      </w:pPr>
      <w:r>
        <w:rPr>
          <w:rFonts w:hint="eastAsia" w:ascii="宋体" w:hAnsi="宋体" w:eastAsia="宋体" w:cs="宋体"/>
          <w:color w:val="auto"/>
          <w:kern w:val="2"/>
          <w:sz w:val="21"/>
          <w:szCs w:val="21"/>
          <w:highlight w:val="none"/>
          <w:lang w:val="en-US" w:eastAsia="zh-CN" w:bidi="ar-SA"/>
        </w:rPr>
        <w:t>（五）</w:t>
      </w:r>
      <w:r>
        <w:rPr>
          <w:rFonts w:hint="eastAsia" w:ascii="宋体" w:hAnsi="宋体" w:eastAsia="宋体" w:cs="宋体"/>
          <w:b w:val="0"/>
          <w:bCs w:val="0"/>
          <w:color w:val="000000"/>
          <w:kern w:val="28"/>
          <w:sz w:val="21"/>
          <w:szCs w:val="21"/>
          <w:highlight w:val="none"/>
          <w:lang w:eastAsia="zh-CN"/>
        </w:rPr>
        <w:t>本项目属性为服务类。</w:t>
      </w:r>
    </w:p>
    <w:p w14:paraId="7E896213">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（六）</w:t>
      </w:r>
      <w:r>
        <w:rPr>
          <w:rFonts w:hint="eastAsia" w:ascii="宋体" w:hAnsi="宋体" w:eastAsia="宋体" w:cs="宋体"/>
          <w:b w:val="0"/>
          <w:bCs w:val="0"/>
          <w:color w:val="000000"/>
          <w:kern w:val="28"/>
          <w:sz w:val="21"/>
          <w:szCs w:val="21"/>
          <w:highlight w:val="none"/>
          <w:lang w:eastAsia="zh-CN"/>
        </w:rPr>
        <w:t>本项目</w:t>
      </w:r>
      <w:r>
        <w:rPr>
          <w:rFonts w:hint="eastAsia" w:ascii="宋体" w:hAnsi="宋体" w:eastAsia="宋体" w:cs="宋体"/>
          <w:b w:val="0"/>
          <w:bCs w:val="0"/>
          <w:color w:val="000000"/>
          <w:kern w:val="28"/>
          <w:sz w:val="21"/>
          <w:szCs w:val="21"/>
          <w:highlight w:val="none"/>
        </w:rPr>
        <w:t>确定</w:t>
      </w:r>
      <w:r>
        <w:rPr>
          <w:rFonts w:hint="eastAsia" w:ascii="宋体" w:hAnsi="宋体" w:eastAsia="宋体" w:cs="宋体"/>
          <w:b w:val="0"/>
          <w:bCs w:val="0"/>
          <w:color w:val="000000"/>
          <w:kern w:val="28"/>
          <w:sz w:val="21"/>
          <w:szCs w:val="21"/>
          <w:highlight w:val="none"/>
          <w:lang w:val="en-US" w:eastAsia="zh-CN"/>
        </w:rPr>
        <w:t>1</w:t>
      </w:r>
      <w:r>
        <w:rPr>
          <w:rFonts w:hint="eastAsia" w:ascii="宋体" w:hAnsi="宋体" w:eastAsia="宋体" w:cs="宋体"/>
          <w:b w:val="0"/>
          <w:bCs w:val="0"/>
          <w:color w:val="000000"/>
          <w:kern w:val="28"/>
          <w:sz w:val="21"/>
          <w:szCs w:val="21"/>
          <w:highlight w:val="none"/>
        </w:rPr>
        <w:t>名成交供应商</w:t>
      </w:r>
      <w:r>
        <w:rPr>
          <w:rFonts w:hint="eastAsia" w:ascii="宋体" w:hAnsi="宋体" w:eastAsia="宋体" w:cs="宋体"/>
          <w:b w:val="0"/>
          <w:bCs w:val="0"/>
          <w:color w:val="000000"/>
          <w:sz w:val="21"/>
          <w:szCs w:val="21"/>
          <w:highlight w:val="none"/>
          <w:lang w:eastAsia="zh-CN"/>
        </w:rPr>
        <w:t>。</w:t>
      </w:r>
    </w:p>
    <w:p w14:paraId="0E92CB6A">
      <w:pPr>
        <w:keepNext w:val="0"/>
        <w:keepLines w:val="0"/>
        <w:pageBreakBefore w:val="0"/>
        <w:widowControl w:val="0"/>
        <w:tabs>
          <w:tab w:val="left" w:pos="567"/>
        </w:tabs>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（七）</w:t>
      </w:r>
      <w:r>
        <w:rPr>
          <w:rFonts w:hint="eastAsia" w:ascii="宋体" w:hAnsi="宋体" w:eastAsia="宋体" w:cs="宋体"/>
          <w:b w:val="0"/>
          <w:bCs/>
          <w:color w:val="000000"/>
          <w:sz w:val="21"/>
          <w:szCs w:val="21"/>
          <w:highlight w:val="none"/>
        </w:rPr>
        <w:t>响应文件格式的《商务条件响应表》中“磋商文件规定的商务条件”项下填写的内容应与磋商文件第二部分采购需求的“商务要求”“主要商务要求”的内容保持一致。《技术和服务要求响应表》中“磋商文件规定的技术和服务要求”项下填写的内容应与磋商文件第二部分采购需求的“技术要求”的内容保持一致。供应商应当如实填写各表中“响应文件响应的具体内容”处内容，对采购文件提出的要求和条件作出明确响应，并列明具体响应数值或内容。</w:t>
      </w:r>
    </w:p>
    <w:p w14:paraId="64A2A569">
      <w:pPr>
        <w:pStyle w:val="11"/>
        <w:keepNext w:val="0"/>
        <w:keepLines w:val="0"/>
        <w:pageBreakBefore w:val="0"/>
        <w:numPr>
          <w:ilvl w:val="1"/>
          <w:numId w:val="1"/>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rPr>
      </w:pPr>
      <w:bookmarkStart w:id="1" w:name="_Toc3683"/>
      <w:bookmarkStart w:id="2" w:name="_Toc306184351"/>
      <w:r>
        <w:rPr>
          <w:rFonts w:hint="eastAsia" w:ascii="宋体" w:hAnsi="宋体" w:eastAsia="宋体" w:cs="宋体"/>
          <w:b/>
          <w:color w:val="000000"/>
          <w:sz w:val="21"/>
          <w:szCs w:val="21"/>
          <w:highlight w:val="none"/>
          <w:lang w:eastAsia="zh-CN"/>
        </w:rPr>
        <w:t>项目背景</w:t>
      </w:r>
    </w:p>
    <w:p w14:paraId="40DBF26A">
      <w:pPr>
        <w:keepNext w:val="0"/>
        <w:keepLines w:val="0"/>
        <w:pageBreakBefore w:val="0"/>
        <w:kinsoku/>
        <w:wordWrap/>
        <w:overflowPunct/>
        <w:topLinePunct w:val="0"/>
        <w:autoSpaceDE/>
        <w:autoSpaceDN/>
        <w:bidi w:val="0"/>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目前</w:t>
      </w:r>
      <w:r>
        <w:rPr>
          <w:rFonts w:hint="eastAsia" w:ascii="宋体" w:hAnsi="宋体" w:eastAsia="宋体" w:cs="宋体"/>
          <w:bCs/>
          <w:color w:val="000000"/>
          <w:kern w:val="28"/>
          <w:sz w:val="21"/>
          <w:szCs w:val="21"/>
          <w:lang w:val="en-US" w:eastAsia="zh-CN"/>
        </w:rPr>
        <w:t>中山市人民医院</w:t>
      </w:r>
      <w:r>
        <w:rPr>
          <w:rFonts w:hint="eastAsia" w:ascii="宋体" w:hAnsi="宋体" w:eastAsia="宋体" w:cs="宋体"/>
          <w:bCs/>
          <w:color w:val="000000"/>
          <w:kern w:val="28"/>
          <w:sz w:val="21"/>
          <w:szCs w:val="21"/>
        </w:rPr>
        <w:t>桌面设备包括台式电脑、笔记本电脑、打印机及</w:t>
      </w:r>
      <w:r>
        <w:rPr>
          <w:rFonts w:hint="eastAsia" w:ascii="宋体" w:hAnsi="宋体" w:eastAsia="宋体" w:cs="宋体"/>
          <w:bCs/>
          <w:color w:val="000000"/>
          <w:kern w:val="28"/>
          <w:sz w:val="21"/>
          <w:szCs w:val="21"/>
          <w:lang w:val="en-US" w:eastAsia="zh-CN"/>
        </w:rPr>
        <w:t>移动终端</w:t>
      </w:r>
      <w:r>
        <w:rPr>
          <w:rFonts w:hint="eastAsia" w:ascii="宋体" w:hAnsi="宋体" w:eastAsia="宋体" w:cs="宋体"/>
          <w:bCs/>
          <w:color w:val="000000"/>
          <w:kern w:val="28"/>
          <w:sz w:val="21"/>
          <w:szCs w:val="21"/>
        </w:rPr>
        <w:t>等，医院工作人员</w:t>
      </w:r>
      <w:r>
        <w:rPr>
          <w:rFonts w:hint="eastAsia" w:ascii="宋体" w:hAnsi="宋体" w:eastAsia="宋体" w:cs="宋体"/>
          <w:bCs/>
          <w:color w:val="000000"/>
          <w:kern w:val="28"/>
          <w:sz w:val="21"/>
          <w:szCs w:val="21"/>
          <w:lang w:val="en-US" w:eastAsia="zh-CN"/>
        </w:rPr>
        <w:t>约3</w:t>
      </w:r>
      <w:r>
        <w:rPr>
          <w:rFonts w:hint="eastAsia" w:ascii="宋体" w:hAnsi="宋体" w:eastAsia="宋体" w:cs="宋体"/>
          <w:bCs/>
          <w:color w:val="000000"/>
          <w:kern w:val="28"/>
          <w:sz w:val="21"/>
          <w:szCs w:val="21"/>
        </w:rPr>
        <w:t>500人。这些桌面设备对医院是医院业务、办公正常、有序开展的必要设施，亟需驻场运维人员进行现场维护。当这些桌面设备出现问题或故障，驻场人员出场可以第一时间判断故障范围，处理故障，保证在最短的时间响应客户的服务需求，降低运营信息系统故障解决的时间成本，保障医院正常业务活动不受影响。通过IT服务外包的方式，充分利用运维公司的先进管理模式、优秀的技术团队、精湛的技术水平、专业的维修设备等帮助医院提高工作效率，改善服务质量，提升服务满意度，降低硬件服务成本。</w:t>
      </w:r>
    </w:p>
    <w:p w14:paraId="451D0331">
      <w:pPr>
        <w:keepNext w:val="0"/>
        <w:keepLines w:val="0"/>
        <w:pageBreakBefore w:val="0"/>
        <w:kinsoku/>
        <w:wordWrap/>
        <w:overflowPunct/>
        <w:topLinePunct w:val="0"/>
        <w:autoSpaceDE/>
        <w:autoSpaceDN/>
        <w:bidi w:val="0"/>
        <w:spacing w:line="360" w:lineRule="auto"/>
        <w:ind w:left="0" w:leftChars="0" w:right="0" w:rightChars="0" w:firstLine="0" w:firstLineChars="0"/>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rPr>
        <w:t>随着中山市人民医院信息化建设的不断深入，医院各项医疗应用、日常工作对信息点和配套网络的依赖程度越来越高；现阶段随着医院信息化的快速发展，各区域科室信息点、配套医疗设备等对网络要求越来越高，需要配套快速、标准、规范的信息点综合布线实施服务，对医院业务和应用平台进行有效的基础支撑</w:t>
      </w:r>
      <w:r>
        <w:rPr>
          <w:rFonts w:hint="eastAsia" w:ascii="宋体" w:hAnsi="宋体" w:eastAsia="宋体" w:cs="宋体"/>
          <w:bCs/>
          <w:color w:val="000000"/>
          <w:kern w:val="28"/>
          <w:sz w:val="21"/>
          <w:szCs w:val="21"/>
          <w:lang w:eastAsia="zh-CN"/>
        </w:rPr>
        <w:t>。</w:t>
      </w:r>
    </w:p>
    <w:p w14:paraId="0DEEAF1C">
      <w:pPr>
        <w:pStyle w:val="2"/>
        <w:keepNext w:val="0"/>
        <w:keepLines w:val="0"/>
        <w:pageBreakBefore w:val="0"/>
        <w:kinsoku/>
        <w:wordWrap/>
        <w:overflowPunct/>
        <w:topLinePunct w:val="0"/>
        <w:autoSpaceDE/>
        <w:autoSpaceDN/>
        <w:bidi w:val="0"/>
        <w:spacing w:line="360" w:lineRule="auto"/>
        <w:ind w:left="0" w:leftChars="0" w:right="0" w:rightChars="0" w:firstLine="0" w:firstLineChars="0"/>
        <w:rPr>
          <w:rFonts w:hint="eastAsia" w:ascii="宋体" w:hAnsi="宋体" w:eastAsia="宋体" w:cs="宋体"/>
          <w:sz w:val="21"/>
          <w:szCs w:val="21"/>
          <w:lang w:eastAsia="zh-CN"/>
        </w:rPr>
      </w:pPr>
    </w:p>
    <w:p w14:paraId="40F864CD">
      <w:pPr>
        <w:pStyle w:val="11"/>
        <w:keepNext w:val="0"/>
        <w:keepLines w:val="0"/>
        <w:pageBreakBefore w:val="0"/>
        <w:numPr>
          <w:ilvl w:val="1"/>
          <w:numId w:val="1"/>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项目概况</w:t>
      </w:r>
    </w:p>
    <w:p w14:paraId="22BDDE0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（一）</w:t>
      </w:r>
      <w:r>
        <w:rPr>
          <w:rFonts w:hint="eastAsia" w:ascii="宋体" w:hAnsi="宋体" w:eastAsia="宋体" w:cs="宋体"/>
          <w:bCs/>
          <w:color w:val="000000"/>
          <w:kern w:val="28"/>
          <w:sz w:val="21"/>
          <w:szCs w:val="21"/>
        </w:rPr>
        <w:t>医院设备情况：</w:t>
      </w:r>
    </w:p>
    <w:p w14:paraId="426EA5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1.</w:t>
      </w:r>
      <w:r>
        <w:rPr>
          <w:rFonts w:hint="eastAsia" w:ascii="宋体" w:hAnsi="宋体" w:eastAsia="宋体" w:cs="宋体"/>
          <w:bCs/>
          <w:color w:val="000000"/>
          <w:kern w:val="28"/>
          <w:sz w:val="21"/>
          <w:szCs w:val="21"/>
        </w:rPr>
        <w:t>目前医院在用的硬件设备主要包括电脑主机、显示器、笔记本、一体机、自助机、打印机、复印机、扫描仪、条码打印机、交换机、PDA、平板等终端设备。</w:t>
      </w:r>
    </w:p>
    <w:p w14:paraId="169298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lang w:val="en-US" w:eastAsia="zh-CN"/>
        </w:rPr>
        <w:t>2.</w:t>
      </w:r>
      <w:r>
        <w:rPr>
          <w:rFonts w:hint="eastAsia" w:ascii="宋体" w:hAnsi="宋体" w:eastAsia="宋体" w:cs="宋体"/>
          <w:bCs/>
          <w:color w:val="000000"/>
          <w:kern w:val="28"/>
          <w:sz w:val="21"/>
          <w:szCs w:val="21"/>
        </w:rPr>
        <w:t>主要硬件设备为</w:t>
      </w:r>
      <w:r>
        <w:rPr>
          <w:rFonts w:hint="eastAsia" w:ascii="宋体" w:hAnsi="宋体" w:eastAsia="宋体" w:cs="宋体"/>
          <w:bCs/>
          <w:color w:val="000000"/>
          <w:kern w:val="28"/>
          <w:sz w:val="21"/>
          <w:szCs w:val="21"/>
          <w:lang w:eastAsia="zh-CN"/>
        </w:rPr>
        <w:t>：</w:t>
      </w:r>
    </w:p>
    <w:p w14:paraId="2C85A6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rPr>
        <w:t xml:space="preserve">计算机数量 </w:t>
      </w:r>
      <w:r>
        <w:rPr>
          <w:rFonts w:hint="eastAsia" w:ascii="宋体" w:hAnsi="宋体" w:eastAsia="宋体" w:cs="宋体"/>
          <w:bCs/>
          <w:color w:val="000000"/>
          <w:kern w:val="28"/>
          <w:sz w:val="21"/>
          <w:szCs w:val="21"/>
          <w:lang w:val="en-US" w:eastAsia="zh-CN"/>
        </w:rPr>
        <w:t>4241</w:t>
      </w:r>
      <w:r>
        <w:rPr>
          <w:rFonts w:hint="eastAsia" w:ascii="宋体" w:hAnsi="宋体" w:eastAsia="宋体" w:cs="宋体"/>
          <w:bCs/>
          <w:color w:val="000000"/>
          <w:kern w:val="28"/>
          <w:sz w:val="21"/>
          <w:szCs w:val="21"/>
        </w:rPr>
        <w:t>台，过保修期数</w:t>
      </w:r>
      <w:r>
        <w:rPr>
          <w:rFonts w:hint="eastAsia" w:ascii="宋体" w:hAnsi="宋体" w:eastAsia="宋体" w:cs="宋体"/>
          <w:bCs/>
          <w:color w:val="000000"/>
          <w:kern w:val="28"/>
          <w:sz w:val="21"/>
          <w:szCs w:val="21"/>
          <w:lang w:val="en-US" w:eastAsia="zh-CN"/>
        </w:rPr>
        <w:t>4178</w:t>
      </w:r>
      <w:r>
        <w:rPr>
          <w:rFonts w:hint="eastAsia" w:ascii="宋体" w:hAnsi="宋体" w:eastAsia="宋体" w:cs="宋体"/>
          <w:bCs/>
          <w:color w:val="000000"/>
          <w:kern w:val="28"/>
          <w:sz w:val="21"/>
          <w:szCs w:val="21"/>
        </w:rPr>
        <w:t>台，过保占比</w:t>
      </w:r>
      <w:r>
        <w:rPr>
          <w:rFonts w:hint="eastAsia" w:ascii="宋体" w:hAnsi="宋体" w:eastAsia="宋体" w:cs="宋体"/>
          <w:bCs/>
          <w:color w:val="000000"/>
          <w:kern w:val="28"/>
          <w:sz w:val="21"/>
          <w:szCs w:val="21"/>
          <w:lang w:val="en-US" w:eastAsia="zh-CN"/>
        </w:rPr>
        <w:t>99</w:t>
      </w: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eastAsia="zh-CN"/>
        </w:rPr>
        <w:t>；显示器</w:t>
      </w:r>
      <w:r>
        <w:rPr>
          <w:rFonts w:hint="eastAsia" w:ascii="宋体" w:hAnsi="宋体" w:eastAsia="宋体" w:cs="宋体"/>
          <w:bCs/>
          <w:color w:val="000000"/>
          <w:kern w:val="28"/>
          <w:sz w:val="21"/>
          <w:szCs w:val="21"/>
          <w:lang w:val="en-US" w:eastAsia="zh-CN"/>
        </w:rPr>
        <w:t>4358台，过保修期数4339台，过保占比99%，</w:t>
      </w:r>
      <w:r>
        <w:rPr>
          <w:rFonts w:hint="eastAsia" w:ascii="宋体" w:hAnsi="宋体" w:eastAsia="宋体" w:cs="宋体"/>
          <w:bCs/>
          <w:color w:val="000000"/>
          <w:kern w:val="28"/>
          <w:sz w:val="21"/>
          <w:szCs w:val="21"/>
        </w:rPr>
        <w:t>主要品牌包括但不限于联想、H3C、DELL等</w:t>
      </w:r>
      <w:r>
        <w:rPr>
          <w:rFonts w:hint="eastAsia" w:ascii="宋体" w:hAnsi="宋体" w:eastAsia="宋体" w:cs="宋体"/>
          <w:bCs/>
          <w:color w:val="000000"/>
          <w:kern w:val="28"/>
          <w:sz w:val="21"/>
          <w:szCs w:val="21"/>
          <w:lang w:eastAsia="zh-CN"/>
        </w:rPr>
        <w:t>；</w:t>
      </w:r>
    </w:p>
    <w:p w14:paraId="0FF76BB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rPr>
        <w:t>打印机数量</w:t>
      </w:r>
      <w:r>
        <w:rPr>
          <w:rFonts w:hint="eastAsia" w:ascii="宋体" w:hAnsi="宋体" w:eastAsia="宋体" w:cs="宋体"/>
          <w:bCs/>
          <w:color w:val="000000"/>
          <w:kern w:val="28"/>
          <w:sz w:val="21"/>
          <w:szCs w:val="21"/>
          <w:lang w:val="en-US" w:eastAsia="zh-CN"/>
        </w:rPr>
        <w:t>1692</w:t>
      </w:r>
      <w:r>
        <w:rPr>
          <w:rFonts w:hint="eastAsia" w:ascii="宋体" w:hAnsi="宋体" w:eastAsia="宋体" w:cs="宋体"/>
          <w:bCs/>
          <w:color w:val="000000"/>
          <w:kern w:val="28"/>
          <w:sz w:val="21"/>
          <w:szCs w:val="21"/>
        </w:rPr>
        <w:t xml:space="preserve"> 台，过保修期数</w:t>
      </w:r>
      <w:r>
        <w:rPr>
          <w:rFonts w:hint="eastAsia" w:ascii="宋体" w:hAnsi="宋体" w:eastAsia="宋体" w:cs="宋体"/>
          <w:bCs/>
          <w:color w:val="000000"/>
          <w:kern w:val="28"/>
          <w:sz w:val="21"/>
          <w:szCs w:val="21"/>
          <w:lang w:val="en-US" w:eastAsia="zh-CN"/>
        </w:rPr>
        <w:t>1662</w:t>
      </w:r>
      <w:r>
        <w:rPr>
          <w:rFonts w:hint="eastAsia" w:ascii="宋体" w:hAnsi="宋体" w:eastAsia="宋体" w:cs="宋体"/>
          <w:bCs/>
          <w:color w:val="000000"/>
          <w:kern w:val="28"/>
          <w:sz w:val="21"/>
          <w:szCs w:val="21"/>
        </w:rPr>
        <w:t>台，过保占比</w:t>
      </w:r>
      <w:r>
        <w:rPr>
          <w:rFonts w:hint="eastAsia" w:ascii="宋体" w:hAnsi="宋体" w:eastAsia="宋体" w:cs="宋体"/>
          <w:bCs/>
          <w:color w:val="000000"/>
          <w:kern w:val="28"/>
          <w:sz w:val="21"/>
          <w:szCs w:val="21"/>
          <w:lang w:val="en-US" w:eastAsia="zh-CN"/>
        </w:rPr>
        <w:t>98</w:t>
      </w:r>
      <w:r>
        <w:rPr>
          <w:rFonts w:hint="eastAsia" w:ascii="宋体" w:hAnsi="宋体" w:eastAsia="宋体" w:cs="宋体"/>
          <w:bCs/>
          <w:color w:val="000000"/>
          <w:kern w:val="28"/>
          <w:sz w:val="21"/>
          <w:szCs w:val="21"/>
        </w:rPr>
        <w:t>%，主要品牌包括但不限于得实、Epson、佳能、惠普、兄弟、北洋、科诚、佳博、斑马、理光等</w:t>
      </w:r>
      <w:r>
        <w:rPr>
          <w:rFonts w:hint="eastAsia" w:ascii="宋体" w:hAnsi="宋体" w:eastAsia="宋体" w:cs="宋体"/>
          <w:bCs/>
          <w:color w:val="000000"/>
          <w:kern w:val="28"/>
          <w:sz w:val="21"/>
          <w:szCs w:val="21"/>
          <w:lang w:eastAsia="zh-CN"/>
        </w:rPr>
        <w:t>；</w:t>
      </w:r>
    </w:p>
    <w:p w14:paraId="2DA1D6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PDA、平板电脑、笔记本电脑等移动式终端设备数量约</w:t>
      </w:r>
      <w:r>
        <w:rPr>
          <w:rFonts w:hint="eastAsia" w:ascii="宋体" w:hAnsi="宋体" w:eastAsia="宋体" w:cs="宋体"/>
          <w:bCs/>
          <w:color w:val="000000"/>
          <w:kern w:val="28"/>
          <w:sz w:val="21"/>
          <w:szCs w:val="21"/>
          <w:lang w:val="en-US" w:eastAsia="zh-CN"/>
        </w:rPr>
        <w:t>1191</w:t>
      </w:r>
      <w:r>
        <w:rPr>
          <w:rFonts w:hint="eastAsia" w:ascii="宋体" w:hAnsi="宋体" w:eastAsia="宋体" w:cs="宋体"/>
          <w:bCs/>
          <w:color w:val="000000"/>
          <w:kern w:val="28"/>
          <w:sz w:val="21"/>
          <w:szCs w:val="21"/>
        </w:rPr>
        <w:t>台，过保修期数</w:t>
      </w:r>
      <w:r>
        <w:rPr>
          <w:rFonts w:hint="eastAsia" w:ascii="宋体" w:hAnsi="宋体" w:eastAsia="宋体" w:cs="宋体"/>
          <w:bCs/>
          <w:color w:val="000000"/>
          <w:kern w:val="28"/>
          <w:sz w:val="21"/>
          <w:szCs w:val="21"/>
          <w:lang w:val="en-US" w:eastAsia="zh-CN"/>
        </w:rPr>
        <w:t>1019</w:t>
      </w:r>
      <w:r>
        <w:rPr>
          <w:rFonts w:hint="eastAsia" w:ascii="宋体" w:hAnsi="宋体" w:eastAsia="宋体" w:cs="宋体"/>
          <w:bCs/>
          <w:color w:val="000000"/>
          <w:kern w:val="28"/>
          <w:sz w:val="21"/>
          <w:szCs w:val="21"/>
        </w:rPr>
        <w:t>台，过保占比</w:t>
      </w:r>
      <w:r>
        <w:rPr>
          <w:rFonts w:hint="eastAsia" w:ascii="宋体" w:hAnsi="宋体" w:eastAsia="宋体" w:cs="宋体"/>
          <w:bCs/>
          <w:color w:val="000000"/>
          <w:kern w:val="28"/>
          <w:sz w:val="21"/>
          <w:szCs w:val="21"/>
          <w:lang w:val="en-US" w:eastAsia="zh-CN"/>
        </w:rPr>
        <w:t>85</w:t>
      </w:r>
      <w:r>
        <w:rPr>
          <w:rFonts w:hint="eastAsia" w:ascii="宋体" w:hAnsi="宋体" w:eastAsia="宋体" w:cs="宋体"/>
          <w:bCs/>
          <w:color w:val="000000"/>
          <w:kern w:val="28"/>
          <w:sz w:val="21"/>
          <w:szCs w:val="21"/>
        </w:rPr>
        <w:t>%，主要品牌包括但不限于东集、苹果、联想、华为、三星、戴尔、霍尼韦尔、斑马、小米等。</w:t>
      </w:r>
    </w:p>
    <w:p w14:paraId="1482AC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color w:val="000000"/>
          <w:kern w:val="28"/>
          <w:sz w:val="21"/>
          <w:szCs w:val="21"/>
        </w:rPr>
      </w:pPr>
      <w:r>
        <w:rPr>
          <w:rFonts w:hint="eastAsia" w:ascii="宋体" w:hAnsi="宋体" w:eastAsia="宋体" w:cs="宋体"/>
          <w:bCs/>
          <w:color w:val="000000"/>
          <w:kern w:val="28"/>
          <w:sz w:val="21"/>
          <w:szCs w:val="21"/>
        </w:rPr>
        <w:t>。</w:t>
      </w:r>
    </w:p>
    <w:p w14:paraId="24C195DB">
      <w:pPr>
        <w:pStyle w:val="11"/>
        <w:keepNext w:val="0"/>
        <w:keepLines w:val="0"/>
        <w:pageBreakBefore w:val="0"/>
        <w:numPr>
          <w:ilvl w:val="1"/>
          <w:numId w:val="1"/>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商务要求</w:t>
      </w:r>
      <w:bookmarkEnd w:id="1"/>
    </w:p>
    <w:p w14:paraId="4CE54AFE">
      <w:pPr>
        <w:keepNext w:val="0"/>
        <w:keepLines w:val="0"/>
        <w:pageBreakBefore w:val="0"/>
        <w:widowControl/>
        <w:tabs>
          <w:tab w:val="left" w:pos="426"/>
        </w:tabs>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（一）报价说明</w:t>
      </w:r>
    </w:p>
    <w:p w14:paraId="7DD95C65">
      <w:pPr>
        <w:keepNext w:val="0"/>
        <w:keepLines w:val="0"/>
        <w:pageBreakBefore w:val="0"/>
        <w:widowControl/>
        <w:tabs>
          <w:tab w:val="left" w:pos="426"/>
          <w:tab w:val="left" w:pos="567"/>
        </w:tabs>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1.</w:t>
      </w:r>
      <w:r>
        <w:rPr>
          <w:rFonts w:hint="eastAsia" w:ascii="宋体" w:hAnsi="宋体" w:eastAsia="宋体" w:cs="宋体"/>
          <w:b/>
          <w:bCs/>
          <w:color w:val="000000"/>
          <w:sz w:val="21"/>
          <w:szCs w:val="21"/>
          <w:highlight w:val="none"/>
        </w:rPr>
        <w:t>本项目</w:t>
      </w:r>
      <w:r>
        <w:rPr>
          <w:rFonts w:hint="eastAsia" w:ascii="宋体" w:hAnsi="宋体" w:cs="宋体"/>
          <w:b/>
          <w:bCs/>
          <w:color w:val="000000"/>
          <w:sz w:val="21"/>
          <w:szCs w:val="21"/>
          <w:highlight w:val="none"/>
          <w:lang w:val="en-US" w:eastAsia="zh-CN"/>
        </w:rPr>
        <w:t>服务期限</w:t>
      </w:r>
      <w:r>
        <w:rPr>
          <w:rFonts w:hint="eastAsia" w:ascii="宋体" w:hAnsi="宋体" w:cs="宋体"/>
          <w:b/>
          <w:bCs/>
          <w:color w:val="0000FF"/>
          <w:sz w:val="21"/>
          <w:szCs w:val="21"/>
          <w:highlight w:val="none"/>
          <w:lang w:val="en-US" w:eastAsia="zh-CN"/>
        </w:rPr>
        <w:t>两年</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本项目分为三部分内容：</w:t>
      </w:r>
    </w:p>
    <w:p w14:paraId="77234653">
      <w:pPr>
        <w:keepNext w:val="0"/>
        <w:keepLines w:val="0"/>
        <w:pageBreakBefore w:val="0"/>
        <w:widowControl/>
        <w:numPr>
          <w:ilvl w:val="0"/>
          <w:numId w:val="0"/>
        </w:numPr>
        <w:tabs>
          <w:tab w:val="left" w:pos="426"/>
          <w:tab w:val="left" w:pos="567"/>
        </w:tabs>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00"/>
          <w:sz w:val="21"/>
          <w:szCs w:val="21"/>
          <w:highlight w:val="none"/>
          <w:lang w:val="en-US" w:eastAsia="zh-CN"/>
        </w:rPr>
        <w:t>（1）维保</w:t>
      </w:r>
      <w:r>
        <w:rPr>
          <w:rFonts w:hint="eastAsia" w:ascii="宋体" w:hAnsi="宋体" w:eastAsia="宋体" w:cs="宋体"/>
          <w:b/>
          <w:bCs/>
          <w:color w:val="000000"/>
          <w:kern w:val="28"/>
          <w:sz w:val="21"/>
          <w:szCs w:val="21"/>
          <w:lang w:val="en-US" w:eastAsia="zh-CN"/>
        </w:rPr>
        <w:t>服务</w:t>
      </w:r>
      <w:r>
        <w:rPr>
          <w:rFonts w:hint="eastAsia" w:ascii="宋体" w:hAnsi="宋体" w:eastAsia="宋体" w:cs="宋体"/>
          <w:b/>
          <w:bCs/>
          <w:color w:val="0000FF"/>
          <w:sz w:val="21"/>
          <w:szCs w:val="21"/>
          <w:highlight w:val="none"/>
          <w:lang w:eastAsia="zh-CN"/>
        </w:rPr>
        <w:t>；</w:t>
      </w:r>
    </w:p>
    <w:p w14:paraId="170D991E">
      <w:pPr>
        <w:pStyle w:val="2"/>
        <w:keepNext w:val="0"/>
        <w:keepLines w:val="0"/>
        <w:pageBreakBefore w:val="0"/>
        <w:numPr>
          <w:ilvl w:val="0"/>
          <w:numId w:val="0"/>
        </w:numPr>
        <w:kinsoku/>
        <w:wordWrap/>
        <w:overflowPunct/>
        <w:topLinePunct w:val="0"/>
        <w:autoSpaceDE/>
        <w:autoSpaceDN/>
        <w:bidi w:val="0"/>
        <w:spacing w:line="360" w:lineRule="auto"/>
        <w:ind w:firstLine="0"/>
        <w:rPr>
          <w:rFonts w:hint="eastAsia" w:ascii="宋体" w:hAnsi="宋体" w:eastAsia="宋体" w:cs="宋体"/>
          <w:b/>
          <w:bCs/>
          <w:color w:val="000000"/>
          <w:kern w:val="28"/>
          <w:sz w:val="21"/>
          <w:szCs w:val="21"/>
          <w:lang w:val="en-US" w:eastAsia="zh-CN"/>
        </w:rPr>
      </w:pPr>
      <w:r>
        <w:rPr>
          <w:rFonts w:hint="eastAsia" w:ascii="宋体" w:hAnsi="宋体" w:eastAsia="宋体" w:cs="宋体"/>
          <w:b/>
          <w:bCs/>
          <w:sz w:val="21"/>
          <w:szCs w:val="21"/>
          <w:lang w:val="en-US" w:eastAsia="zh-CN"/>
        </w:rPr>
        <w:t>（2）</w:t>
      </w:r>
      <w:r>
        <w:rPr>
          <w:rFonts w:hint="eastAsia" w:ascii="宋体" w:hAnsi="宋体" w:cs="宋体"/>
          <w:b/>
          <w:bCs/>
          <w:color w:val="000000"/>
          <w:kern w:val="28"/>
          <w:sz w:val="21"/>
          <w:szCs w:val="21"/>
          <w:lang w:val="en-US" w:eastAsia="zh-CN"/>
        </w:rPr>
        <w:t>设备</w:t>
      </w:r>
      <w:r>
        <w:rPr>
          <w:rFonts w:hint="eastAsia" w:ascii="宋体" w:hAnsi="宋体" w:eastAsia="宋体" w:cs="宋体"/>
          <w:b/>
          <w:bCs/>
          <w:color w:val="000000"/>
          <w:kern w:val="28"/>
          <w:sz w:val="21"/>
          <w:szCs w:val="21"/>
          <w:lang w:val="en-US" w:eastAsia="zh-CN"/>
        </w:rPr>
        <w:t>维修、数据修复</w:t>
      </w:r>
      <w:r>
        <w:rPr>
          <w:rFonts w:hint="eastAsia" w:ascii="宋体" w:hAnsi="宋体" w:eastAsia="宋体" w:cs="宋体"/>
          <w:b/>
          <w:bCs/>
          <w:color w:val="0000FF"/>
          <w:sz w:val="21"/>
          <w:szCs w:val="21"/>
          <w:highlight w:val="none"/>
          <w:lang w:eastAsia="zh-CN"/>
        </w:rPr>
        <w:t>；</w:t>
      </w:r>
    </w:p>
    <w:p w14:paraId="49EDB259">
      <w:pPr>
        <w:pStyle w:val="2"/>
        <w:keepNext w:val="0"/>
        <w:keepLines w:val="0"/>
        <w:pageBreakBefore w:val="0"/>
        <w:numPr>
          <w:ilvl w:val="0"/>
          <w:numId w:val="0"/>
        </w:numPr>
        <w:kinsoku/>
        <w:wordWrap/>
        <w:overflowPunct/>
        <w:topLinePunct w:val="0"/>
        <w:autoSpaceDE/>
        <w:autoSpaceDN/>
        <w:bidi w:val="0"/>
        <w:spacing w:line="360" w:lineRule="auto"/>
        <w:ind w:firstLine="0"/>
        <w:rPr>
          <w:rFonts w:hint="eastAsia" w:ascii="宋体" w:hAnsi="宋体" w:eastAsia="宋体" w:cs="宋体"/>
          <w:b/>
          <w:bCs/>
          <w:color w:val="000000"/>
          <w:kern w:val="28"/>
          <w:sz w:val="21"/>
          <w:szCs w:val="21"/>
          <w:lang w:val="en-US" w:eastAsia="zh-CN"/>
        </w:rPr>
      </w:pPr>
      <w:r>
        <w:rPr>
          <w:rFonts w:hint="eastAsia" w:ascii="宋体" w:hAnsi="宋体" w:eastAsia="宋体" w:cs="宋体"/>
          <w:b/>
          <w:bCs/>
          <w:color w:val="000000"/>
          <w:kern w:val="28"/>
          <w:sz w:val="21"/>
          <w:szCs w:val="21"/>
          <w:lang w:val="en-US" w:eastAsia="zh-CN"/>
        </w:rPr>
        <w:t>（3）</w:t>
      </w:r>
      <w:r>
        <w:rPr>
          <w:rFonts w:hint="eastAsia" w:ascii="宋体" w:hAnsi="宋体" w:eastAsia="宋体" w:cs="宋体"/>
          <w:b/>
          <w:bCs/>
          <w:color w:val="0C0C0C"/>
          <w:sz w:val="21"/>
          <w:szCs w:val="21"/>
        </w:rPr>
        <w:t>线路开通</w:t>
      </w:r>
      <w:r>
        <w:rPr>
          <w:rFonts w:hint="eastAsia" w:ascii="宋体" w:hAnsi="宋体" w:eastAsia="宋体" w:cs="宋体"/>
          <w:b/>
          <w:bCs/>
          <w:color w:val="0000FF"/>
          <w:sz w:val="21"/>
          <w:szCs w:val="21"/>
          <w:highlight w:val="none"/>
          <w:lang w:eastAsia="zh-CN"/>
        </w:rPr>
        <w:t>。</w:t>
      </w:r>
    </w:p>
    <w:p w14:paraId="39564766">
      <w:pPr>
        <w:pStyle w:val="2"/>
        <w:keepNext w:val="0"/>
        <w:keepLines w:val="0"/>
        <w:pageBreakBefore w:val="0"/>
        <w:numPr>
          <w:ilvl w:val="0"/>
          <w:numId w:val="0"/>
        </w:numPr>
        <w:kinsoku/>
        <w:wordWrap/>
        <w:overflowPunct/>
        <w:topLinePunct w:val="0"/>
        <w:autoSpaceDE/>
        <w:autoSpaceDN/>
        <w:bidi w:val="0"/>
        <w:spacing w:line="360" w:lineRule="auto"/>
        <w:ind w:firstLine="0"/>
        <w:rPr>
          <w:rFonts w:hint="eastAsia" w:ascii="宋体" w:hAnsi="宋体" w:eastAsia="宋体" w:cs="宋体"/>
          <w:b/>
          <w:bCs/>
          <w:color w:val="000000"/>
          <w:kern w:val="28"/>
          <w:sz w:val="21"/>
          <w:szCs w:val="21"/>
          <w:lang w:val="en-US" w:eastAsia="zh-CN"/>
        </w:rPr>
      </w:pPr>
      <w:r>
        <w:rPr>
          <w:rFonts w:hint="eastAsia" w:ascii="宋体" w:hAnsi="宋体" w:eastAsia="宋体" w:cs="宋体"/>
          <w:b/>
          <w:color w:val="000000"/>
          <w:sz w:val="21"/>
          <w:szCs w:val="21"/>
          <w:highlight w:val="none"/>
        </w:rPr>
        <w:t>★</w:t>
      </w:r>
      <w:r>
        <w:rPr>
          <w:rFonts w:hint="eastAsia" w:ascii="宋体" w:hAnsi="宋体" w:eastAsia="宋体" w:cs="宋体"/>
          <w:b/>
          <w:bCs/>
          <w:color w:val="000000"/>
          <w:kern w:val="28"/>
          <w:sz w:val="21"/>
          <w:szCs w:val="21"/>
          <w:lang w:val="en-US" w:eastAsia="zh-CN"/>
        </w:rPr>
        <w:t>2.本项目报价方式如下：</w:t>
      </w:r>
    </w:p>
    <w:p w14:paraId="6E212348">
      <w:pPr>
        <w:pStyle w:val="2"/>
        <w:keepNext w:val="0"/>
        <w:keepLines w:val="0"/>
        <w:pageBreakBefore w:val="0"/>
        <w:numPr>
          <w:ilvl w:val="0"/>
          <w:numId w:val="0"/>
        </w:numPr>
        <w:kinsoku/>
        <w:wordWrap/>
        <w:overflowPunct/>
        <w:topLinePunct w:val="0"/>
        <w:autoSpaceDE/>
        <w:autoSpaceDN/>
        <w:bidi w:val="0"/>
        <w:spacing w:line="360" w:lineRule="auto"/>
        <w:ind w:firstLine="0"/>
        <w:rPr>
          <w:rFonts w:hint="default" w:ascii="宋体" w:hAnsi="宋体" w:eastAsia="宋体" w:cs="宋体"/>
          <w:b/>
          <w:bCs/>
          <w:color w:val="000000"/>
          <w:kern w:val="28"/>
          <w:sz w:val="21"/>
          <w:szCs w:val="21"/>
          <w:lang w:val="en-US" w:eastAsia="zh-CN"/>
        </w:rPr>
      </w:pPr>
      <w:r>
        <w:rPr>
          <w:rFonts w:hint="eastAsia" w:ascii="宋体" w:hAnsi="宋体" w:eastAsia="宋体" w:cs="宋体"/>
          <w:b/>
          <w:bCs/>
          <w:color w:val="000000"/>
          <w:sz w:val="21"/>
          <w:szCs w:val="21"/>
          <w:highlight w:val="none"/>
          <w:lang w:val="en-US" w:eastAsia="zh-CN"/>
        </w:rPr>
        <w:t>（1）维保</w:t>
      </w:r>
      <w:r>
        <w:rPr>
          <w:rFonts w:hint="eastAsia" w:ascii="宋体" w:hAnsi="宋体" w:eastAsia="宋体" w:cs="宋体"/>
          <w:b/>
          <w:bCs/>
          <w:color w:val="000000"/>
          <w:kern w:val="28"/>
          <w:sz w:val="21"/>
          <w:szCs w:val="21"/>
          <w:lang w:val="en-US" w:eastAsia="zh-CN"/>
        </w:rPr>
        <w:t>服务费用采用总价报价方式，实行总价包干，供应商的维保服务费用的总报价不得高于</w:t>
      </w:r>
      <w:r>
        <w:rPr>
          <w:rFonts w:hint="eastAsia" w:ascii="宋体" w:hAnsi="宋体" w:eastAsia="宋体" w:cs="宋体"/>
          <w:b/>
          <w:bCs/>
          <w:color w:val="000000"/>
          <w:sz w:val="21"/>
          <w:szCs w:val="21"/>
          <w:highlight w:val="none"/>
          <w:lang w:val="en-US" w:eastAsia="zh-CN"/>
        </w:rPr>
        <w:t>维保</w:t>
      </w:r>
      <w:r>
        <w:rPr>
          <w:rFonts w:hint="eastAsia" w:ascii="宋体" w:hAnsi="宋体" w:eastAsia="宋体" w:cs="宋体"/>
          <w:b/>
          <w:bCs/>
          <w:color w:val="000000"/>
          <w:kern w:val="28"/>
          <w:sz w:val="21"/>
          <w:szCs w:val="21"/>
          <w:lang w:val="en-US" w:eastAsia="zh-CN"/>
        </w:rPr>
        <w:t>服务费用的预算金额，否则视为无效报价。</w:t>
      </w:r>
    </w:p>
    <w:p w14:paraId="1208BFA6">
      <w:pPr>
        <w:keepNext w:val="0"/>
        <w:keepLines w:val="0"/>
        <w:pageBreakBefore w:val="0"/>
        <w:kinsoku/>
        <w:wordWrap/>
        <w:overflowPunct/>
        <w:topLinePunct w:val="0"/>
        <w:autoSpaceDE/>
        <w:autoSpaceDN/>
        <w:bidi w:val="0"/>
        <w:spacing w:line="360" w:lineRule="auto"/>
        <w:rPr>
          <w:rFonts w:hint="default" w:ascii="宋体" w:hAnsi="宋体" w:eastAsia="宋体" w:cs="宋体"/>
          <w:b/>
          <w:bCs/>
          <w:color w:val="000000"/>
          <w:kern w:val="28"/>
          <w:sz w:val="21"/>
          <w:szCs w:val="21"/>
          <w:lang w:val="en-US" w:eastAsia="zh-CN"/>
        </w:rPr>
      </w:pPr>
      <w:r>
        <w:rPr>
          <w:rFonts w:hint="eastAsia" w:ascii="宋体" w:hAnsi="宋体" w:eastAsia="宋体" w:cs="宋体"/>
          <w:b/>
          <w:bCs/>
          <w:color w:val="000000"/>
          <w:kern w:val="28"/>
          <w:sz w:val="21"/>
          <w:szCs w:val="21"/>
          <w:lang w:val="en-US" w:eastAsia="zh-CN"/>
        </w:rPr>
        <w:t>（2）</w:t>
      </w:r>
      <w:r>
        <w:rPr>
          <w:rFonts w:hint="eastAsia" w:ascii="宋体" w:hAnsi="宋体" w:cs="宋体"/>
          <w:b/>
          <w:bCs/>
          <w:color w:val="000000"/>
          <w:kern w:val="28"/>
          <w:sz w:val="21"/>
          <w:szCs w:val="21"/>
          <w:lang w:val="en-US" w:eastAsia="zh-CN"/>
        </w:rPr>
        <w:t>设备</w:t>
      </w:r>
      <w:r>
        <w:rPr>
          <w:rFonts w:hint="eastAsia" w:ascii="宋体" w:hAnsi="宋体" w:eastAsia="宋体" w:cs="宋体"/>
          <w:b/>
          <w:bCs/>
          <w:color w:val="000000"/>
          <w:kern w:val="28"/>
          <w:sz w:val="21"/>
          <w:szCs w:val="21"/>
          <w:lang w:val="en-US" w:eastAsia="zh-CN"/>
        </w:rPr>
        <w:t>维修、数据修复费用在本次采购时，供应商无需报价，采购人按实际发生费用和发生数量与成交供应商进行结算，成交供应商须承诺最终结算单价不得高于采购人历史维修价格且不得高于产品原厂官网公布的维修价格，结算单价经采购人同意方可实施。</w:t>
      </w:r>
    </w:p>
    <w:p w14:paraId="1969EC71">
      <w:pPr>
        <w:pStyle w:val="2"/>
        <w:keepNext w:val="0"/>
        <w:keepLines w:val="0"/>
        <w:pageBreakBefore w:val="0"/>
        <w:kinsoku/>
        <w:wordWrap/>
        <w:overflowPunct/>
        <w:topLinePunct w:val="0"/>
        <w:autoSpaceDE/>
        <w:autoSpaceDN/>
        <w:bidi w:val="0"/>
        <w:spacing w:line="360" w:lineRule="auto"/>
        <w:ind w:firstLine="0"/>
        <w:rPr>
          <w:rFonts w:hint="eastAsia" w:ascii="宋体" w:hAnsi="宋体" w:eastAsia="宋体" w:cs="宋体"/>
          <w:b/>
          <w:bCs/>
          <w:color w:val="0C0C0C"/>
          <w:sz w:val="21"/>
          <w:szCs w:val="21"/>
          <w:lang w:val="en-US" w:eastAsia="zh-CN"/>
        </w:rPr>
      </w:pPr>
      <w:r>
        <w:rPr>
          <w:rFonts w:hint="eastAsia" w:ascii="宋体" w:hAnsi="宋体" w:eastAsia="宋体" w:cs="宋体"/>
          <w:b/>
          <w:bCs/>
          <w:color w:val="000000"/>
          <w:kern w:val="28"/>
          <w:sz w:val="21"/>
          <w:szCs w:val="21"/>
          <w:lang w:val="en-US" w:eastAsia="zh-CN"/>
        </w:rPr>
        <w:t>（3）</w:t>
      </w:r>
      <w:r>
        <w:rPr>
          <w:rFonts w:hint="eastAsia" w:ascii="宋体" w:hAnsi="宋体" w:eastAsia="宋体" w:cs="宋体"/>
          <w:b/>
          <w:bCs/>
          <w:color w:val="0C0C0C"/>
          <w:sz w:val="21"/>
          <w:szCs w:val="21"/>
        </w:rPr>
        <w:t>线路开通</w:t>
      </w:r>
      <w:r>
        <w:rPr>
          <w:rFonts w:hint="eastAsia" w:ascii="宋体" w:hAnsi="宋体" w:eastAsia="宋体" w:cs="宋体"/>
          <w:b/>
          <w:bCs/>
          <w:color w:val="0C0C0C"/>
          <w:sz w:val="21"/>
          <w:szCs w:val="21"/>
          <w:lang w:val="en-US" w:eastAsia="zh-CN"/>
        </w:rPr>
        <w:t>费用采用单价报价方式，各单价报价不高于对应单价最高限价，否则视为无效报价。</w:t>
      </w:r>
      <w:r>
        <w:rPr>
          <w:rFonts w:hint="eastAsia" w:ascii="宋体" w:hAnsi="宋体" w:eastAsia="宋体" w:cs="宋体"/>
          <w:b/>
          <w:bCs/>
          <w:color w:val="000000"/>
          <w:kern w:val="28"/>
          <w:sz w:val="21"/>
          <w:szCs w:val="21"/>
          <w:lang w:val="en-US" w:eastAsia="zh-CN"/>
        </w:rPr>
        <w:t>采购人按成交单价及实际线路开通数量与成交供应商进行结算，</w:t>
      </w:r>
      <w:r>
        <w:rPr>
          <w:rFonts w:hint="eastAsia" w:ascii="宋体" w:hAnsi="宋体" w:eastAsia="宋体" w:cs="宋体"/>
          <w:b/>
          <w:bCs/>
          <w:color w:val="0C0C0C"/>
          <w:sz w:val="21"/>
          <w:szCs w:val="21"/>
          <w:lang w:val="en-US" w:eastAsia="zh-CN"/>
        </w:rPr>
        <w:t>各单价最高限价见下表：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3353"/>
        <w:gridCol w:w="2135"/>
        <w:gridCol w:w="2137"/>
      </w:tblGrid>
      <w:tr w14:paraId="4C8F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933" w:type="dxa"/>
            <w:noWrap w:val="0"/>
            <w:vAlign w:val="center"/>
          </w:tcPr>
          <w:p w14:paraId="207548E9">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210" w:firstLineChars="100"/>
              <w:jc w:val="both"/>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序号</w:t>
            </w:r>
          </w:p>
        </w:tc>
        <w:tc>
          <w:tcPr>
            <w:tcW w:w="3923" w:type="dxa"/>
            <w:noWrap w:val="0"/>
            <w:vAlign w:val="center"/>
          </w:tcPr>
          <w:p w14:paraId="7CAC7DDB">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名称</w:t>
            </w:r>
          </w:p>
        </w:tc>
        <w:tc>
          <w:tcPr>
            <w:tcW w:w="2428" w:type="dxa"/>
            <w:noWrap w:val="0"/>
            <w:vAlign w:val="center"/>
          </w:tcPr>
          <w:p w14:paraId="148AF42D">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单价最高限价</w:t>
            </w:r>
          </w:p>
        </w:tc>
        <w:tc>
          <w:tcPr>
            <w:tcW w:w="2429" w:type="dxa"/>
            <w:noWrap w:val="0"/>
            <w:vAlign w:val="center"/>
          </w:tcPr>
          <w:p w14:paraId="6EEC16C4">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default" w:ascii="宋体" w:hAnsi="宋体" w:eastAsia="宋体" w:cs="宋体"/>
                <w:b/>
                <w:bCs/>
                <w:color w:val="0C0C0C"/>
                <w:sz w:val="21"/>
                <w:szCs w:val="21"/>
                <w:vertAlign w:val="baseline"/>
                <w:lang w:val="en-US" w:eastAsia="zh-CN"/>
              </w:rPr>
            </w:pPr>
            <w:r>
              <w:rPr>
                <w:rFonts w:hint="eastAsia" w:ascii="宋体" w:hAnsi="宋体" w:eastAsia="宋体" w:cs="宋体"/>
                <w:b/>
                <w:bCs/>
                <w:color w:val="0C0C0C"/>
                <w:sz w:val="21"/>
                <w:szCs w:val="21"/>
                <w:vertAlign w:val="baseline"/>
                <w:lang w:val="en-US" w:eastAsia="zh-CN"/>
              </w:rPr>
              <w:t>备注</w:t>
            </w:r>
          </w:p>
        </w:tc>
      </w:tr>
      <w:tr w14:paraId="4A38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33" w:type="dxa"/>
            <w:noWrap w:val="0"/>
            <w:vAlign w:val="center"/>
          </w:tcPr>
          <w:p w14:paraId="71B4605A">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left"/>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1</w:t>
            </w:r>
          </w:p>
        </w:tc>
        <w:tc>
          <w:tcPr>
            <w:tcW w:w="3923" w:type="dxa"/>
            <w:noWrap w:val="0"/>
            <w:vAlign w:val="center"/>
          </w:tcPr>
          <w:p w14:paraId="31006702">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同一科室单次拉线小于10条</w:t>
            </w:r>
          </w:p>
        </w:tc>
        <w:tc>
          <w:tcPr>
            <w:tcW w:w="2428" w:type="dxa"/>
            <w:noWrap w:val="0"/>
            <w:vAlign w:val="center"/>
          </w:tcPr>
          <w:p w14:paraId="7348619C">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default" w:ascii="宋体" w:hAnsi="宋体" w:eastAsia="宋体" w:cs="宋体"/>
                <w:b w:val="0"/>
                <w:bCs w:val="0"/>
                <w:color w:val="0C0C0C"/>
                <w:sz w:val="21"/>
                <w:szCs w:val="21"/>
                <w:vertAlign w:val="baseline"/>
                <w:lang w:val="en-US" w:eastAsia="zh-CN"/>
              </w:rPr>
            </w:pPr>
            <w:r>
              <w:rPr>
                <w:rFonts w:hint="eastAsia" w:ascii="宋体" w:hAnsi="宋体" w:cs="宋体"/>
                <w:b w:val="0"/>
                <w:bCs w:val="0"/>
                <w:color w:val="0C0C0C"/>
                <w:sz w:val="21"/>
                <w:szCs w:val="21"/>
                <w:vertAlign w:val="baseline"/>
                <w:lang w:val="en-US" w:eastAsia="zh-CN"/>
              </w:rPr>
              <w:t>？</w:t>
            </w:r>
            <w:r>
              <w:rPr>
                <w:rFonts w:hint="eastAsia" w:ascii="宋体" w:hAnsi="宋体" w:eastAsia="宋体" w:cs="宋体"/>
                <w:b w:val="0"/>
                <w:bCs w:val="0"/>
                <w:color w:val="0C0C0C"/>
                <w:sz w:val="21"/>
                <w:szCs w:val="21"/>
                <w:vertAlign w:val="baseline"/>
                <w:lang w:val="en-US" w:eastAsia="zh-CN"/>
              </w:rPr>
              <w:t>元/条</w:t>
            </w:r>
          </w:p>
        </w:tc>
        <w:tc>
          <w:tcPr>
            <w:tcW w:w="2429" w:type="dxa"/>
            <w:vMerge w:val="restart"/>
            <w:noWrap w:val="0"/>
            <w:vAlign w:val="center"/>
          </w:tcPr>
          <w:p w14:paraId="1FF163F0">
            <w:pPr>
              <w:pStyle w:val="2"/>
              <w:keepNext w:val="0"/>
              <w:keepLines w:val="0"/>
              <w:pageBreakBefore w:val="0"/>
              <w:numPr>
                <w:ilvl w:val="0"/>
                <w:numId w:val="2"/>
              </w:numPr>
              <w:suppressLineNumbers w:val="0"/>
              <w:kinsoku/>
              <w:wordWrap/>
              <w:overflowPunct/>
              <w:topLinePunct w:val="0"/>
              <w:autoSpaceDE/>
              <w:autoSpaceDN/>
              <w:bidi w:val="0"/>
              <w:spacing w:before="0" w:beforeAutospacing="0" w:after="0" w:afterAutospacing="0" w:line="360" w:lineRule="auto"/>
              <w:ind w:left="0" w:right="0" w:firstLine="0"/>
              <w:jc w:val="center"/>
              <w:rPr>
                <w:rFonts w:hint="eastAsia"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报价已包含查线、打水晶头、打标签等费用；</w:t>
            </w:r>
          </w:p>
          <w:p w14:paraId="3D31F1E7">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right="0" w:rightChars="0"/>
              <w:jc w:val="center"/>
              <w:rPr>
                <w:rFonts w:hint="default"/>
                <w:sz w:val="21"/>
                <w:szCs w:val="21"/>
                <w:lang w:val="en-US" w:eastAsia="zh-CN"/>
              </w:rPr>
            </w:pP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lang w:val="en-US" w:eastAsia="zh-CN"/>
              </w:rPr>
              <w:t>结算时按实际线路开通数量计算费用。</w:t>
            </w:r>
          </w:p>
        </w:tc>
      </w:tr>
      <w:tr w14:paraId="1915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933" w:type="dxa"/>
            <w:noWrap w:val="0"/>
            <w:vAlign w:val="center"/>
          </w:tcPr>
          <w:p w14:paraId="77B989D4">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left"/>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2</w:t>
            </w:r>
          </w:p>
        </w:tc>
        <w:tc>
          <w:tcPr>
            <w:tcW w:w="3923" w:type="dxa"/>
            <w:noWrap w:val="0"/>
            <w:vAlign w:val="center"/>
          </w:tcPr>
          <w:p w14:paraId="0B5CF1B0">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同一科室单次拉线大于等于10条，小于20条</w:t>
            </w:r>
          </w:p>
        </w:tc>
        <w:tc>
          <w:tcPr>
            <w:tcW w:w="2428" w:type="dxa"/>
            <w:noWrap w:val="0"/>
            <w:vAlign w:val="center"/>
          </w:tcPr>
          <w:p w14:paraId="0A11C151">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eastAsia" w:ascii="宋体" w:hAnsi="宋体" w:eastAsia="宋体" w:cs="宋体"/>
                <w:b w:val="0"/>
                <w:bCs w:val="0"/>
                <w:color w:val="0C0C0C"/>
                <w:sz w:val="21"/>
                <w:szCs w:val="21"/>
                <w:vertAlign w:val="baseline"/>
                <w:lang w:val="en-US" w:eastAsia="zh-CN"/>
              </w:rPr>
            </w:pPr>
            <w:r>
              <w:rPr>
                <w:rFonts w:hint="eastAsia" w:ascii="宋体" w:hAnsi="宋体" w:cs="宋体"/>
                <w:b w:val="0"/>
                <w:bCs w:val="0"/>
                <w:color w:val="0C0C0C"/>
                <w:sz w:val="21"/>
                <w:szCs w:val="21"/>
                <w:vertAlign w:val="baseline"/>
                <w:lang w:val="en-US" w:eastAsia="zh-CN"/>
              </w:rPr>
              <w:t>？</w:t>
            </w:r>
            <w:r>
              <w:rPr>
                <w:rFonts w:hint="eastAsia" w:ascii="宋体" w:hAnsi="宋体" w:eastAsia="宋体" w:cs="宋体"/>
                <w:b w:val="0"/>
                <w:bCs w:val="0"/>
                <w:color w:val="0C0C0C"/>
                <w:sz w:val="21"/>
                <w:szCs w:val="21"/>
                <w:vertAlign w:val="baseline"/>
                <w:lang w:val="en-US" w:eastAsia="zh-CN"/>
              </w:rPr>
              <w:t>元/条</w:t>
            </w:r>
          </w:p>
        </w:tc>
        <w:tc>
          <w:tcPr>
            <w:tcW w:w="2429" w:type="dxa"/>
            <w:vMerge w:val="continue"/>
            <w:noWrap w:val="0"/>
            <w:vAlign w:val="center"/>
          </w:tcPr>
          <w:p w14:paraId="50E35DE0">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eastAsia" w:ascii="宋体" w:hAnsi="宋体" w:eastAsia="宋体" w:cs="宋体"/>
                <w:b/>
                <w:bCs/>
                <w:color w:val="0C0C0C"/>
                <w:sz w:val="21"/>
                <w:szCs w:val="21"/>
                <w:vertAlign w:val="baseline"/>
                <w:lang w:val="en-US" w:eastAsia="zh-CN"/>
              </w:rPr>
            </w:pPr>
          </w:p>
        </w:tc>
      </w:tr>
      <w:tr w14:paraId="3E53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33" w:type="dxa"/>
            <w:noWrap w:val="0"/>
            <w:vAlign w:val="center"/>
          </w:tcPr>
          <w:p w14:paraId="7973EB35">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left"/>
              <w:rPr>
                <w:rFonts w:hint="default"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3</w:t>
            </w:r>
          </w:p>
        </w:tc>
        <w:tc>
          <w:tcPr>
            <w:tcW w:w="3923" w:type="dxa"/>
            <w:noWrap w:val="0"/>
            <w:vAlign w:val="center"/>
          </w:tcPr>
          <w:p w14:paraId="057AAE42">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eastAsia" w:ascii="宋体" w:hAnsi="宋体" w:eastAsia="宋体" w:cs="宋体"/>
                <w:b w:val="0"/>
                <w:bCs w:val="0"/>
                <w:color w:val="0C0C0C"/>
                <w:sz w:val="21"/>
                <w:szCs w:val="21"/>
                <w:vertAlign w:val="baseline"/>
                <w:lang w:val="en-US" w:eastAsia="zh-CN"/>
              </w:rPr>
            </w:pPr>
            <w:r>
              <w:rPr>
                <w:rFonts w:hint="eastAsia" w:ascii="宋体" w:hAnsi="宋体" w:eastAsia="宋体" w:cs="宋体"/>
                <w:b w:val="0"/>
                <w:bCs w:val="0"/>
                <w:color w:val="0C0C0C"/>
                <w:sz w:val="21"/>
                <w:szCs w:val="21"/>
                <w:vertAlign w:val="baseline"/>
                <w:lang w:val="en-US" w:eastAsia="zh-CN"/>
              </w:rPr>
              <w:t>同一科室单次拉线大于20条</w:t>
            </w:r>
          </w:p>
        </w:tc>
        <w:tc>
          <w:tcPr>
            <w:tcW w:w="2428" w:type="dxa"/>
            <w:noWrap w:val="0"/>
            <w:vAlign w:val="center"/>
          </w:tcPr>
          <w:p w14:paraId="0AD867B8">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eastAsia" w:ascii="宋体" w:hAnsi="宋体" w:eastAsia="宋体" w:cs="宋体"/>
                <w:b w:val="0"/>
                <w:bCs w:val="0"/>
                <w:color w:val="0C0C0C"/>
                <w:sz w:val="21"/>
                <w:szCs w:val="21"/>
                <w:vertAlign w:val="baseline"/>
                <w:lang w:val="en-US" w:eastAsia="zh-CN"/>
              </w:rPr>
            </w:pPr>
            <w:r>
              <w:rPr>
                <w:rFonts w:hint="eastAsia" w:ascii="宋体" w:hAnsi="宋体" w:cs="宋体"/>
                <w:b w:val="0"/>
                <w:bCs w:val="0"/>
                <w:color w:val="0C0C0C"/>
                <w:sz w:val="21"/>
                <w:szCs w:val="21"/>
                <w:vertAlign w:val="baseline"/>
                <w:lang w:val="en-US" w:eastAsia="zh-CN"/>
              </w:rPr>
              <w:t>？</w:t>
            </w:r>
            <w:r>
              <w:rPr>
                <w:rFonts w:hint="eastAsia" w:ascii="宋体" w:hAnsi="宋体" w:eastAsia="宋体" w:cs="宋体"/>
                <w:b w:val="0"/>
                <w:bCs w:val="0"/>
                <w:color w:val="0C0C0C"/>
                <w:sz w:val="21"/>
                <w:szCs w:val="21"/>
                <w:vertAlign w:val="baseline"/>
                <w:lang w:val="en-US" w:eastAsia="zh-CN"/>
              </w:rPr>
              <w:t>元/条</w:t>
            </w:r>
          </w:p>
        </w:tc>
        <w:tc>
          <w:tcPr>
            <w:tcW w:w="2429" w:type="dxa"/>
            <w:vMerge w:val="continue"/>
            <w:noWrap w:val="0"/>
            <w:vAlign w:val="center"/>
          </w:tcPr>
          <w:p w14:paraId="67DE8E02">
            <w:pPr>
              <w:pStyle w:val="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center"/>
              <w:rPr>
                <w:rFonts w:hint="eastAsia" w:ascii="宋体" w:hAnsi="宋体" w:eastAsia="宋体" w:cs="宋体"/>
                <w:b/>
                <w:bCs/>
                <w:color w:val="0C0C0C"/>
                <w:sz w:val="21"/>
                <w:szCs w:val="21"/>
                <w:vertAlign w:val="baseline"/>
                <w:lang w:val="en-US" w:eastAsia="zh-CN"/>
              </w:rPr>
            </w:pPr>
          </w:p>
        </w:tc>
      </w:tr>
    </w:tbl>
    <w:p w14:paraId="2EF4E84A">
      <w:pPr>
        <w:pStyle w:val="2"/>
        <w:keepNext w:val="0"/>
        <w:keepLines w:val="0"/>
        <w:pageBreakBefore w:val="0"/>
        <w:kinsoku/>
        <w:wordWrap/>
        <w:overflowPunct/>
        <w:topLinePunct w:val="0"/>
        <w:autoSpaceDE/>
        <w:autoSpaceDN/>
        <w:bidi w:val="0"/>
        <w:spacing w:line="360" w:lineRule="auto"/>
        <w:ind w:firstLine="0"/>
        <w:rPr>
          <w:rFonts w:hint="eastAsia" w:ascii="宋体" w:hAnsi="宋体" w:eastAsia="宋体" w:cs="宋体"/>
          <w:b/>
          <w:bCs/>
          <w:color w:val="0C0C0C"/>
          <w:sz w:val="21"/>
          <w:szCs w:val="21"/>
          <w:lang w:val="en-US" w:eastAsia="zh-CN"/>
        </w:rPr>
      </w:pPr>
    </w:p>
    <w:p w14:paraId="7ECC7043">
      <w:pPr>
        <w:keepNext w:val="0"/>
        <w:keepLines w:val="0"/>
        <w:pageBreakBefore w:val="0"/>
        <w:widowControl/>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本项目报价</w:t>
      </w:r>
      <w:r>
        <w:rPr>
          <w:rFonts w:hint="eastAsia" w:ascii="宋体" w:hAnsi="宋体" w:eastAsia="宋体" w:cs="宋体"/>
          <w:color w:val="000000"/>
          <w:sz w:val="21"/>
          <w:szCs w:val="21"/>
          <w:highlight w:val="none"/>
        </w:rPr>
        <w:t>包括</w:t>
      </w:r>
      <w:r>
        <w:rPr>
          <w:rFonts w:hint="eastAsia" w:ascii="宋体" w:hAnsi="宋体" w:eastAsia="宋体" w:cs="宋体"/>
          <w:color w:val="000000"/>
          <w:sz w:val="21"/>
          <w:szCs w:val="21"/>
          <w:highlight w:val="none"/>
          <w:lang w:eastAsia="zh-CN"/>
        </w:rPr>
        <w:t>但</w:t>
      </w:r>
      <w:r>
        <w:rPr>
          <w:rFonts w:hint="eastAsia" w:ascii="宋体" w:hAnsi="宋体" w:eastAsia="宋体" w:cs="宋体"/>
          <w:color w:val="000000"/>
          <w:sz w:val="21"/>
          <w:szCs w:val="21"/>
          <w:highlight w:val="none"/>
        </w:rPr>
        <w:t>不限于</w:t>
      </w:r>
      <w:r>
        <w:rPr>
          <w:rFonts w:hint="eastAsia" w:ascii="宋体" w:hAnsi="宋体" w:eastAsia="宋体" w:cs="宋体"/>
          <w:color w:val="0000FF"/>
          <w:sz w:val="21"/>
          <w:szCs w:val="21"/>
          <w:highlight w:val="none"/>
        </w:rPr>
        <w:t>拟实施本项目所需提供的人员薪酬福利保险、</w:t>
      </w:r>
      <w:r>
        <w:rPr>
          <w:rFonts w:hint="eastAsia" w:ascii="宋体" w:hAnsi="宋体" w:cs="宋体"/>
          <w:color w:val="0000FF"/>
          <w:sz w:val="21"/>
          <w:szCs w:val="21"/>
          <w:highlight w:val="none"/>
          <w:lang w:val="en-US" w:eastAsia="zh-CN"/>
        </w:rPr>
        <w:t>设备维修</w:t>
      </w:r>
      <w:r>
        <w:rPr>
          <w:rFonts w:hint="eastAsia" w:ascii="宋体" w:hAnsi="宋体" w:eastAsia="宋体" w:cs="宋体"/>
          <w:color w:val="0000FF"/>
          <w:sz w:val="21"/>
          <w:szCs w:val="21"/>
          <w:highlight w:val="none"/>
          <w:lang w:val="en-US" w:eastAsia="zh-CN"/>
        </w:rPr>
        <w:t>、数据修复等，</w:t>
      </w:r>
      <w:r>
        <w:rPr>
          <w:rFonts w:hint="eastAsia" w:ascii="宋体" w:hAnsi="宋体" w:eastAsia="宋体" w:cs="宋体"/>
          <w:color w:val="0000FF"/>
          <w:sz w:val="21"/>
          <w:szCs w:val="21"/>
          <w:highlight w:val="none"/>
        </w:rPr>
        <w:t>线路开通数量</w:t>
      </w:r>
      <w:r>
        <w:rPr>
          <w:rFonts w:hint="eastAsia" w:ascii="宋体" w:hAnsi="宋体" w:eastAsia="宋体" w:cs="宋体"/>
          <w:color w:val="0000FF"/>
          <w:sz w:val="21"/>
          <w:szCs w:val="21"/>
          <w:highlight w:val="none"/>
          <w:lang w:eastAsia="zh-CN"/>
        </w:rPr>
        <w:t>、</w:t>
      </w:r>
      <w:r>
        <w:rPr>
          <w:rFonts w:hint="eastAsia" w:ascii="宋体" w:hAnsi="宋体" w:eastAsia="宋体" w:cs="宋体"/>
          <w:color w:val="0000FF"/>
          <w:sz w:val="21"/>
          <w:szCs w:val="21"/>
          <w:highlight w:val="none"/>
        </w:rPr>
        <w:t>完成本项目所需工具、设备、资料打印费、车旅费、税费以及完成本项目所需的所有费用</w:t>
      </w:r>
      <w:r>
        <w:rPr>
          <w:rFonts w:hint="eastAsia" w:ascii="宋体" w:hAnsi="宋体" w:eastAsia="宋体" w:cs="宋体"/>
          <w:color w:val="000000"/>
          <w:sz w:val="21"/>
          <w:szCs w:val="21"/>
          <w:highlight w:val="none"/>
        </w:rPr>
        <w:t>。</w:t>
      </w:r>
    </w:p>
    <w:p w14:paraId="14CCA43A">
      <w:pPr>
        <w:keepNext w:val="0"/>
        <w:keepLines w:val="0"/>
        <w:pageBreakBefore w:val="0"/>
        <w:widowControl/>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.成交供应商负责磋商文件对成交供应商要求的一切事宜及责任。</w:t>
      </w:r>
    </w:p>
    <w:bookmarkEnd w:id="2"/>
    <w:p w14:paraId="65CC2A22">
      <w:pPr>
        <w:keepNext w:val="0"/>
        <w:keepLines w:val="0"/>
        <w:pageBreakBefore w:val="0"/>
        <w:widowControl/>
        <w:tabs>
          <w:tab w:val="left" w:pos="426"/>
          <w:tab w:val="left" w:pos="900"/>
        </w:tabs>
        <w:kinsoku/>
        <w:wordWrap/>
        <w:overflowPunct/>
        <w:topLinePunct w:val="0"/>
        <w:autoSpaceDE/>
        <w:autoSpaceDN/>
        <w:bidi w:val="0"/>
        <w:adjustRightInd/>
        <w:snapToGrid w:val="0"/>
        <w:spacing w:line="360" w:lineRule="auto"/>
        <w:ind w:left="0" w:leftChars="0" w:right="0" w:rightChars="0" w:firstLine="0" w:firstLineChars="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.如供应商在成交或履行合同过程中出现任何遗漏性内容需产生额外费用，均由成交</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自行承担，采购人不再支付任何其他费用。</w:t>
      </w:r>
      <w:r>
        <w:rPr>
          <w:rFonts w:hint="eastAsia" w:ascii="宋体" w:hAnsi="宋体" w:eastAsia="宋体" w:cs="宋体"/>
          <w:color w:val="000000"/>
          <w:sz w:val="21"/>
          <w:szCs w:val="21"/>
          <w:highlight w:val="none"/>
          <w:lang w:eastAsia="zh-CN"/>
        </w:rPr>
        <w:t>合同履行期间，成交总价及成交单价固定不变。</w:t>
      </w:r>
    </w:p>
    <w:p w14:paraId="0904B346">
      <w:pPr>
        <w:keepNext w:val="0"/>
        <w:keepLines w:val="0"/>
        <w:pageBreakBefore w:val="0"/>
        <w:widowControl/>
        <w:tabs>
          <w:tab w:val="left" w:pos="426"/>
          <w:tab w:val="left" w:pos="900"/>
        </w:tabs>
        <w:kinsoku/>
        <w:wordWrap/>
        <w:overflowPunct/>
        <w:topLinePunct w:val="0"/>
        <w:autoSpaceDE/>
        <w:autoSpaceDN/>
        <w:bidi w:val="0"/>
        <w:adjustRightInd/>
        <w:snapToGrid w:val="0"/>
        <w:spacing w:line="360" w:lineRule="auto"/>
        <w:ind w:left="0" w:leftChars="0" w:right="0" w:rightChars="0" w:firstLine="0" w:firstLineChars="0"/>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w:t>
      </w:r>
      <w:r>
        <w:rPr>
          <w:rFonts w:hint="eastAsia" w:ascii="宋体" w:hAnsi="宋体" w:eastAsia="宋体" w:cs="宋体"/>
          <w:b/>
          <w:color w:val="000000"/>
          <w:sz w:val="21"/>
          <w:szCs w:val="21"/>
          <w:highlight w:val="none"/>
          <w:lang w:eastAsia="zh-CN"/>
        </w:rPr>
        <w:t>（二）</w:t>
      </w:r>
      <w:r>
        <w:rPr>
          <w:rFonts w:hint="eastAsia" w:ascii="宋体" w:hAnsi="宋体" w:eastAsia="宋体" w:cs="宋体"/>
          <w:b/>
          <w:color w:val="000000"/>
          <w:sz w:val="21"/>
          <w:szCs w:val="21"/>
          <w:highlight w:val="none"/>
        </w:rPr>
        <w:t>合同履行期限</w:t>
      </w:r>
    </w:p>
    <w:p w14:paraId="6B73C797">
      <w:pPr>
        <w:keepNext w:val="0"/>
        <w:keepLines w:val="0"/>
        <w:pageBreakBefore w:val="0"/>
        <w:widowControl/>
        <w:tabs>
          <w:tab w:val="left" w:pos="426"/>
          <w:tab w:val="left" w:pos="900"/>
        </w:tabs>
        <w:kinsoku/>
        <w:wordWrap/>
        <w:overflowPunct/>
        <w:topLinePunct w:val="0"/>
        <w:autoSpaceDE/>
        <w:autoSpaceDN/>
        <w:bidi w:val="0"/>
        <w:adjustRightInd/>
        <w:snapToGrid w:val="0"/>
        <w:spacing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cs="宋体"/>
          <w:color w:val="0000FF"/>
          <w:sz w:val="21"/>
          <w:szCs w:val="21"/>
          <w:highlight w:val="none"/>
          <w:lang w:val="en-US" w:eastAsia="zh-CN"/>
        </w:rPr>
        <w:t>两年</w:t>
      </w:r>
      <w:r>
        <w:rPr>
          <w:rFonts w:hint="eastAsia" w:ascii="宋体" w:hAnsi="宋体" w:eastAsia="宋体" w:cs="宋体"/>
          <w:color w:val="0000FF"/>
          <w:sz w:val="21"/>
          <w:szCs w:val="21"/>
          <w:highlight w:val="none"/>
          <w:lang w:eastAsia="zh-CN"/>
        </w:rPr>
        <w:t>，具体起止时间以合同签订时间为准。</w:t>
      </w:r>
    </w:p>
    <w:p w14:paraId="38E4839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0" w:firstLineChars="0"/>
        <w:jc w:val="left"/>
        <w:textAlignment w:val="auto"/>
        <w:outlineLvl w:val="0"/>
        <w:rPr>
          <w:rFonts w:hint="eastAsia" w:ascii="宋体" w:hAnsi="宋体" w:eastAsia="宋体" w:cs="宋体"/>
          <w:b/>
          <w:color w:val="auto"/>
          <w:sz w:val="21"/>
          <w:szCs w:val="21"/>
          <w:highlight w:val="none"/>
          <w:lang w:eastAsia="zh-CN"/>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eastAsia="zh-CN"/>
        </w:rPr>
        <w:t>三</w:t>
      </w:r>
      <w:r>
        <w:rPr>
          <w:rFonts w:hint="eastAsia" w:ascii="宋体" w:hAnsi="宋体" w:eastAsia="宋体" w:cs="宋体"/>
          <w:b/>
          <w:bCs/>
          <w:color w:val="000000"/>
          <w:sz w:val="21"/>
          <w:szCs w:val="21"/>
          <w:highlight w:val="none"/>
        </w:rPr>
        <w:t>）</w:t>
      </w:r>
      <w:r>
        <w:rPr>
          <w:rFonts w:hint="eastAsia" w:ascii="宋体" w:hAnsi="宋体" w:eastAsia="宋体" w:cs="宋体"/>
          <w:b/>
          <w:bCs/>
          <w:color w:val="0000FF"/>
          <w:sz w:val="21"/>
          <w:szCs w:val="21"/>
          <w:highlight w:val="none"/>
          <w:lang w:eastAsia="zh-CN"/>
        </w:rPr>
        <w:t>信息安全及</w:t>
      </w:r>
      <w:r>
        <w:rPr>
          <w:rFonts w:hint="eastAsia" w:ascii="宋体" w:hAnsi="宋体" w:eastAsia="宋体" w:cs="宋体"/>
          <w:b/>
          <w:color w:val="0000FF"/>
          <w:sz w:val="21"/>
          <w:szCs w:val="21"/>
          <w:highlight w:val="none"/>
        </w:rPr>
        <w:t>保密</w:t>
      </w:r>
      <w:r>
        <w:rPr>
          <w:rFonts w:hint="eastAsia" w:ascii="宋体" w:hAnsi="宋体" w:eastAsia="宋体" w:cs="宋体"/>
          <w:b/>
          <w:color w:val="0000FF"/>
          <w:sz w:val="21"/>
          <w:szCs w:val="21"/>
          <w:highlight w:val="none"/>
          <w:lang w:eastAsia="zh-CN"/>
        </w:rPr>
        <w:t>要求</w:t>
      </w:r>
    </w:p>
    <w:p w14:paraId="4A21B97D">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在工作中严格遵守《中华人民共和国保守国家秘密法》、《计算机信息系统保密管理暂行规定》等有关法律、法规，严格执行保密制度、安全措施和操作规程；对</w:t>
      </w:r>
      <w:r>
        <w:rPr>
          <w:rFonts w:hint="eastAsia" w:ascii="宋体" w:hAnsi="宋体" w:eastAsia="宋体" w:cs="宋体"/>
          <w:bCs/>
          <w:color w:val="auto"/>
          <w:sz w:val="21"/>
          <w:szCs w:val="21"/>
          <w:highlight w:val="none"/>
          <w:lang w:eastAsia="zh-CN"/>
        </w:rPr>
        <w:t>运维</w:t>
      </w:r>
      <w:r>
        <w:rPr>
          <w:rFonts w:hint="eastAsia" w:ascii="宋体" w:hAnsi="宋体" w:eastAsia="宋体" w:cs="宋体"/>
          <w:bCs/>
          <w:color w:val="auto"/>
          <w:sz w:val="21"/>
          <w:szCs w:val="21"/>
          <w:highlight w:val="none"/>
        </w:rPr>
        <w:t>中</w:t>
      </w:r>
      <w:r>
        <w:rPr>
          <w:rFonts w:hint="eastAsia" w:ascii="宋体" w:hAnsi="宋体" w:eastAsia="宋体" w:cs="宋体"/>
          <w:bCs/>
          <w:color w:val="auto"/>
          <w:sz w:val="21"/>
          <w:szCs w:val="21"/>
          <w:highlight w:val="none"/>
          <w:lang w:eastAsia="zh-CN"/>
        </w:rPr>
        <w:t>采购人</w:t>
      </w:r>
      <w:r>
        <w:rPr>
          <w:rFonts w:hint="eastAsia" w:ascii="宋体" w:hAnsi="宋体" w:eastAsia="宋体" w:cs="宋体"/>
          <w:bCs/>
          <w:color w:val="auto"/>
          <w:sz w:val="21"/>
          <w:szCs w:val="21"/>
          <w:highlight w:val="none"/>
        </w:rPr>
        <w:t>的所有信息数据都严格保密，严禁把系统的任何信息泄露给任何第三方。</w:t>
      </w:r>
      <w:r>
        <w:rPr>
          <w:rFonts w:hint="eastAsia" w:ascii="宋体" w:hAnsi="宋体" w:eastAsia="宋体" w:cs="宋体"/>
          <w:bCs/>
          <w:color w:val="auto"/>
          <w:sz w:val="21"/>
          <w:szCs w:val="21"/>
          <w:highlight w:val="none"/>
          <w:lang w:eastAsia="zh-CN"/>
        </w:rPr>
        <w:t>成交供应商及其</w:t>
      </w:r>
      <w:r>
        <w:rPr>
          <w:rFonts w:hint="eastAsia" w:ascii="宋体" w:hAnsi="宋体" w:eastAsia="宋体" w:cs="宋体"/>
          <w:bCs/>
          <w:color w:val="auto"/>
          <w:sz w:val="21"/>
          <w:szCs w:val="21"/>
          <w:highlight w:val="none"/>
        </w:rPr>
        <w:t>服务人员因工作业务关系而获得的保密性信息以及其他一切与用户方事务有关的保密信息都严格保密，严禁把任何信息泄露给任何第三方。</w:t>
      </w:r>
    </w:p>
    <w:p w14:paraId="03EA3725">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不得在软件系统中留有任何可能导致采购人数据泄密的软件“后门”。未经采购人书面允许，</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及</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人员不得以任何形式留存、复制采购人所有信息。如有违反上述约定的，采购人有权追究要求</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返还已经收取</w:t>
      </w:r>
      <w:r>
        <w:rPr>
          <w:rFonts w:hint="eastAsia" w:ascii="宋体" w:hAnsi="宋体" w:eastAsia="宋体" w:cs="宋体"/>
          <w:bCs/>
          <w:color w:val="auto"/>
          <w:sz w:val="21"/>
          <w:szCs w:val="21"/>
          <w:highlight w:val="none"/>
          <w:lang w:eastAsia="zh-CN"/>
        </w:rPr>
        <w:t>运维</w:t>
      </w:r>
      <w:r>
        <w:rPr>
          <w:rFonts w:hint="eastAsia" w:ascii="宋体" w:hAnsi="宋体" w:eastAsia="宋体" w:cs="宋体"/>
          <w:bCs/>
          <w:color w:val="auto"/>
          <w:sz w:val="21"/>
          <w:szCs w:val="21"/>
          <w:highlight w:val="none"/>
        </w:rPr>
        <w:t>费用。</w:t>
      </w:r>
    </w:p>
    <w:p w14:paraId="73CCDB77">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.非经采购人书面许可，</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不得以任何形式泄露</w:t>
      </w:r>
      <w:r>
        <w:rPr>
          <w:rFonts w:hint="eastAsia" w:ascii="宋体" w:hAnsi="宋体" w:eastAsia="宋体" w:cs="宋体"/>
          <w:bCs/>
          <w:color w:val="auto"/>
          <w:sz w:val="21"/>
          <w:szCs w:val="21"/>
          <w:highlight w:val="none"/>
          <w:lang w:eastAsia="zh-CN"/>
        </w:rPr>
        <w:t>信息</w:t>
      </w:r>
      <w:r>
        <w:rPr>
          <w:rFonts w:hint="eastAsia" w:ascii="宋体" w:hAnsi="宋体" w:eastAsia="宋体" w:cs="宋体"/>
          <w:bCs/>
          <w:color w:val="auto"/>
          <w:sz w:val="21"/>
          <w:szCs w:val="21"/>
          <w:highlight w:val="none"/>
        </w:rPr>
        <w:t>。因</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原因导致实施过程中所产生的资料、文档、数据安全受到威胁的，采购人有权要求</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采取措施消除影响，并赔偿相应损失。</w:t>
      </w:r>
    </w:p>
    <w:p w14:paraId="00545A62">
      <w:pPr>
        <w:keepNext w:val="0"/>
        <w:keepLines w:val="0"/>
        <w:pageBreakBefore w:val="0"/>
        <w:widowControl/>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w:t>
      </w:r>
      <w:r>
        <w:rPr>
          <w:rFonts w:hint="eastAsia" w:ascii="宋体" w:hAnsi="宋体" w:eastAsia="宋体" w:cs="宋体"/>
          <w:color w:val="FF0000"/>
          <w:sz w:val="21"/>
          <w:szCs w:val="21"/>
          <w:highlight w:val="none"/>
          <w:lang w:eastAsia="zh-CN"/>
        </w:rPr>
        <w:t>成交供应商在工作期间及完成本次服务工作后对采购人依据行业法规承担一切保密义务</w:t>
      </w:r>
      <w:r>
        <w:rPr>
          <w:rFonts w:hint="eastAsia" w:ascii="宋体" w:hAnsi="宋体" w:eastAsia="宋体" w:cs="宋体"/>
          <w:color w:val="000000"/>
          <w:sz w:val="21"/>
          <w:szCs w:val="21"/>
          <w:highlight w:val="none"/>
          <w:lang w:eastAsia="zh-CN"/>
        </w:rPr>
        <w:t>，所接触到</w:t>
      </w:r>
      <w:r>
        <w:rPr>
          <w:rFonts w:hint="eastAsia" w:ascii="宋体" w:hAnsi="宋体" w:cs="宋体"/>
          <w:color w:val="FF0000"/>
          <w:sz w:val="21"/>
          <w:szCs w:val="21"/>
          <w:highlight w:val="none"/>
          <w:lang w:val="en-US" w:eastAsia="zh-CN"/>
        </w:rPr>
        <w:t>与</w:t>
      </w:r>
      <w:r>
        <w:rPr>
          <w:rFonts w:hint="eastAsia" w:ascii="宋体" w:hAnsi="宋体" w:eastAsia="宋体" w:cs="宋体"/>
          <w:color w:val="000000"/>
          <w:sz w:val="21"/>
          <w:szCs w:val="21"/>
          <w:highlight w:val="none"/>
          <w:lang w:eastAsia="zh-CN"/>
        </w:rPr>
        <w:t>本项目有关的任何资料和文件，未经采购人同意不得做合同约定范围以外的任何目的使用，不得透露给第三方，不得擅自泄露相关企业的技术和商业秘密。以上保密规定如有违反，采购人有权追究成交供应商相关法律责任。</w:t>
      </w:r>
    </w:p>
    <w:p w14:paraId="27484BC5">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要承担合同履行时所要尽的一切保密义务。</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对项目实施过程中的资料、数据进行保密，未经采购人书面同意不得泄露，且保密责任不因合同的中止或解除而失效。</w:t>
      </w:r>
    </w:p>
    <w:p w14:paraId="5A50949E">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.项目实施过程中至</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正式向采购人交付技术文档资料时止，</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必须采取措施对本项目实施过程中的数据、技术文档等资料保密，否则由于</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过错导致的上述资料泄密的，</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必须承担一切责任。项目完成后，采购人、</w:t>
      </w:r>
      <w:r>
        <w:rPr>
          <w:rFonts w:hint="eastAsia" w:ascii="宋体" w:hAnsi="宋体" w:eastAsia="宋体" w:cs="宋体"/>
          <w:bCs/>
          <w:color w:val="auto"/>
          <w:sz w:val="21"/>
          <w:szCs w:val="21"/>
          <w:highlight w:val="none"/>
          <w:lang w:eastAsia="zh-CN"/>
        </w:rPr>
        <w:t>成交供应商</w:t>
      </w:r>
      <w:r>
        <w:rPr>
          <w:rFonts w:hint="eastAsia" w:ascii="宋体" w:hAnsi="宋体" w:eastAsia="宋体" w:cs="宋体"/>
          <w:bCs/>
          <w:color w:val="auto"/>
          <w:sz w:val="21"/>
          <w:szCs w:val="21"/>
          <w:highlight w:val="none"/>
        </w:rPr>
        <w:t>双方均有责任对本项目的技术保密承担责任。</w:t>
      </w:r>
    </w:p>
    <w:p w14:paraId="739EB727">
      <w:pPr>
        <w:keepNext w:val="0"/>
        <w:keepLines w:val="0"/>
        <w:pageBreakBefore w:val="0"/>
        <w:widowControl/>
        <w:kinsoku/>
        <w:wordWrap/>
        <w:overflowPunct/>
        <w:topLinePunct w:val="0"/>
        <w:autoSpaceDE/>
        <w:autoSpaceDN/>
        <w:bidi w:val="0"/>
        <w:adjustRightInd/>
        <w:spacing w:line="360" w:lineRule="auto"/>
        <w:ind w:left="0" w:leftChars="0" w:right="0" w:rightChars="0" w:firstLine="0" w:firstLineChars="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7.成交供应商拟投入本项目的人员须与成交供应商签订保密协议。</w:t>
      </w:r>
    </w:p>
    <w:p w14:paraId="6932DD83">
      <w:pPr>
        <w:keepNext w:val="0"/>
        <w:keepLines w:val="0"/>
        <w:pageBreakBefore w:val="0"/>
        <w:kinsoku/>
        <w:wordWrap/>
        <w:overflowPunct/>
        <w:topLinePunct w:val="0"/>
        <w:autoSpaceDE/>
        <w:autoSpaceDN/>
        <w:bidi w:val="0"/>
        <w:spacing w:line="360" w:lineRule="auto"/>
        <w:ind w:left="0" w:leftChars="0" w:right="0" w:rightChars="0" w:firstLine="0" w:firstLineChars="0"/>
        <w:rPr>
          <w:rFonts w:hint="eastAsia" w:ascii="宋体" w:hAnsi="宋体" w:eastAsia="宋体" w:cs="宋体"/>
          <w:sz w:val="21"/>
          <w:szCs w:val="21"/>
        </w:rPr>
      </w:pPr>
    </w:p>
    <w:p w14:paraId="2DA722AB">
      <w:pPr>
        <w:keepNext w:val="0"/>
        <w:keepLines w:val="0"/>
        <w:pageBreakBefore w:val="0"/>
        <w:widowControl w:val="0"/>
        <w:shd w:val="clear" w:color="auto" w:fill="auto"/>
        <w:tabs>
          <w:tab w:val="left" w:pos="567"/>
        </w:tabs>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rPr>
        <w:t>知识产权</w:t>
      </w:r>
    </w:p>
    <w:p w14:paraId="3538D013">
      <w:pPr>
        <w:pStyle w:val="12"/>
        <w:keepNext w:val="0"/>
        <w:keepLines w:val="0"/>
        <w:pageBreakBefore w:val="0"/>
        <w:shd w:val="clear" w:color="auto" w:fill="auto"/>
        <w:kinsoku/>
        <w:wordWrap/>
        <w:overflowPunct/>
        <w:topLinePunct w:val="0"/>
        <w:autoSpaceDE/>
        <w:autoSpaceDN/>
        <w:bidi w:val="0"/>
        <w:spacing w:line="360" w:lineRule="auto"/>
        <w:ind w:left="0"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应保证，</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在中华人民共和国使用</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提供的</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eastAsia="zh-CN"/>
        </w:rPr>
        <w:t>成果</w:t>
      </w:r>
      <w:r>
        <w:rPr>
          <w:rFonts w:hint="eastAsia" w:ascii="宋体" w:hAnsi="宋体" w:eastAsia="宋体" w:cs="宋体"/>
          <w:color w:val="auto"/>
          <w:sz w:val="21"/>
          <w:szCs w:val="21"/>
          <w:highlight w:val="none"/>
        </w:rPr>
        <w:t>或服务</w:t>
      </w:r>
      <w:r>
        <w:rPr>
          <w:rFonts w:hint="eastAsia" w:ascii="宋体" w:hAnsi="宋体" w:eastAsia="宋体" w:cs="宋体"/>
          <w:color w:val="auto"/>
          <w:sz w:val="21"/>
          <w:szCs w:val="21"/>
          <w:highlight w:val="none"/>
          <w:lang w:eastAsia="zh-CN"/>
        </w:rPr>
        <w:t>成果</w:t>
      </w:r>
      <w:r>
        <w:rPr>
          <w:rFonts w:hint="eastAsia" w:ascii="宋体" w:hAnsi="宋体" w:eastAsia="宋体" w:cs="宋体"/>
          <w:color w:val="auto"/>
          <w:sz w:val="21"/>
          <w:szCs w:val="21"/>
          <w:highlight w:val="none"/>
        </w:rPr>
        <w:t>的任何一部分时，如受第三方提出的侵犯其专利权、商标权或其他知识产权的起诉，由</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承担一切责任。如</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为此向第三方承担责任，或为</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垫付赔偿/补偿的，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有权全额要求</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清偿，并要求</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支付自实际垫付款项之日起产生的垫付利息损失（利息损失的年利率按LPR四倍计），以及</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因主张权利而支付的诉讼费用、调查费、律师费、诉保保险费等合理支出。</w:t>
      </w:r>
    </w:p>
    <w:p w14:paraId="4AB8814B">
      <w:pPr>
        <w:pStyle w:val="12"/>
        <w:keepNext w:val="0"/>
        <w:keepLines w:val="0"/>
        <w:pageBreakBefore w:val="0"/>
        <w:shd w:val="clear" w:color="auto" w:fill="auto"/>
        <w:kinsoku/>
        <w:wordWrap/>
        <w:overflowPunct/>
        <w:topLinePunct w:val="0"/>
        <w:autoSpaceDE/>
        <w:autoSpaceDN/>
        <w:bidi w:val="0"/>
        <w:spacing w:line="360" w:lineRule="auto"/>
        <w:ind w:left="0"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提供的服务成果里有涉及图片、文字资料、音乐、声音、专利、专有技术等材料的使用，</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应确保拥有合法的原始来源证明、相关权利人签发的使用许可证明。</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保证向甲方提交的服务成果中所包含的设计、图形、图片、文字等，不侵犯任何第三方的知识产权，如有第三方以侵害知识产权为由向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主张权利，</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将独立全额承担该损失。</w:t>
      </w:r>
    </w:p>
    <w:p w14:paraId="7164C14A">
      <w:pPr>
        <w:keepNext w:val="0"/>
        <w:keepLines w:val="0"/>
        <w:pageBreakBefore w:val="0"/>
        <w:widowControl w:val="0"/>
        <w:shd w:val="clear" w:color="auto" w:fill="auto"/>
        <w:tabs>
          <w:tab w:val="left" w:pos="567"/>
        </w:tabs>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五</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保险</w:t>
      </w:r>
    </w:p>
    <w:p w14:paraId="0C70434F">
      <w:pPr>
        <w:pStyle w:val="6"/>
        <w:keepNext w:val="0"/>
        <w:keepLines w:val="0"/>
        <w:pageBreakBefore w:val="0"/>
        <w:shd w:val="clear" w:color="auto" w:fill="auto"/>
        <w:kinsoku/>
        <w:wordWrap/>
        <w:overflowPunct/>
        <w:topLinePunct w:val="0"/>
        <w:autoSpaceDE/>
        <w:autoSpaceDN/>
        <w:bidi w:val="0"/>
        <w:spacing w:after="0" w:line="360" w:lineRule="auto"/>
        <w:ind w:left="0" w:leftChars="0" w:right="0" w:rightChars="0" w:firstLine="0" w:firstLineChars="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在合同履行期限结束前有关本项目的全部保险由成交供应商负责，包括但不限于成交供应商负责其工作人员人身意外保险，若发生任何安全事故的，由中标供应商自行负责。</w:t>
      </w:r>
    </w:p>
    <w:p w14:paraId="6F81E323">
      <w:pPr>
        <w:keepNext w:val="0"/>
        <w:keepLines w:val="0"/>
        <w:pageBreakBefore w:val="0"/>
        <w:widowControl w:val="0"/>
        <w:numPr>
          <w:ilvl w:val="0"/>
          <w:numId w:val="3"/>
        </w:numPr>
        <w:tabs>
          <w:tab w:val="left" w:pos="426"/>
        </w:tabs>
        <w:kinsoku/>
        <w:wordWrap/>
        <w:overflowPunct/>
        <w:topLinePunct w:val="0"/>
        <w:autoSpaceDE/>
        <w:autoSpaceDN/>
        <w:bidi w:val="0"/>
        <w:adjustRightInd/>
        <w:spacing w:line="360" w:lineRule="auto"/>
        <w:ind w:left="0" w:leftChars="0" w:right="0" w:rightChars="0" w:firstLine="0" w:firstLineChars="0"/>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采购人配合内容</w:t>
      </w:r>
    </w:p>
    <w:p w14:paraId="1C50424C">
      <w:pPr>
        <w:keepNext w:val="0"/>
        <w:keepLines w:val="0"/>
        <w:pageBreakBefore w:val="0"/>
        <w:widowControl w:val="0"/>
        <w:tabs>
          <w:tab w:val="left" w:pos="426"/>
        </w:tabs>
        <w:kinsoku/>
        <w:wordWrap/>
        <w:overflowPunct/>
        <w:topLinePunct w:val="0"/>
        <w:autoSpaceDE/>
        <w:autoSpaceDN/>
        <w:bidi w:val="0"/>
        <w:adjustRightInd/>
        <w:spacing w:line="360" w:lineRule="auto"/>
        <w:ind w:left="0" w:leftChars="0" w:right="0" w:rightChars="0" w:firstLine="0" w:firstLineChars="0"/>
        <w:textAlignment w:val="auto"/>
        <w:rPr>
          <w:rFonts w:hint="eastAsia" w:ascii="宋体" w:hAnsi="宋体" w:eastAsia="宋体" w:cs="宋体"/>
          <w:color w:val="000000"/>
          <w:sz w:val="21"/>
          <w:szCs w:val="21"/>
          <w:highlight w:val="none"/>
          <w:lang w:val="zh-CN" w:bidi="ar"/>
        </w:rPr>
      </w:pPr>
      <w:r>
        <w:rPr>
          <w:rFonts w:hint="eastAsia" w:ascii="宋体" w:hAnsi="宋体" w:eastAsia="宋体" w:cs="宋体"/>
          <w:b/>
          <w:color w:val="000000"/>
          <w:sz w:val="21"/>
          <w:szCs w:val="21"/>
          <w:highlight w:val="none"/>
          <w:lang w:val="en-US" w:eastAsia="zh-CN"/>
        </w:rPr>
        <w:tab/>
      </w:r>
      <w:r>
        <w:rPr>
          <w:rFonts w:hint="eastAsia" w:ascii="宋体" w:hAnsi="宋体" w:eastAsia="宋体" w:cs="宋体"/>
          <w:bCs/>
          <w:color w:val="000000"/>
          <w:sz w:val="21"/>
          <w:szCs w:val="21"/>
          <w:highlight w:val="none"/>
          <w:lang w:bidi="ar"/>
        </w:rPr>
        <w:t>供应商在响应文件中要列明在项目实施过程中要求采购人提供的配合条件。</w:t>
      </w:r>
      <w:r>
        <w:rPr>
          <w:rFonts w:hint="eastAsia" w:ascii="宋体" w:hAnsi="宋体" w:eastAsia="宋体" w:cs="宋体"/>
          <w:color w:val="000000"/>
          <w:sz w:val="21"/>
          <w:szCs w:val="21"/>
          <w:highlight w:val="none"/>
          <w:lang w:val="zh-CN" w:bidi="ar"/>
        </w:rPr>
        <w:t>供应商所列配合条件采购人将尽量配合解决，但不代表采购人全部接受，采购人有权全部或部分拒绝供应商提出的配合条件。</w:t>
      </w:r>
    </w:p>
    <w:p w14:paraId="1E51B383">
      <w:pPr>
        <w:keepNext w:val="0"/>
        <w:keepLines w:val="0"/>
        <w:pageBreakBefore w:val="0"/>
        <w:tabs>
          <w:tab w:val="left" w:pos="426"/>
        </w:tabs>
        <w:kinsoku/>
        <w:wordWrap/>
        <w:overflowPunct/>
        <w:topLinePunct w:val="0"/>
        <w:autoSpaceDE/>
        <w:autoSpaceDN/>
        <w:bidi w:val="0"/>
        <w:adjustRightInd/>
        <w:spacing w:line="360" w:lineRule="auto"/>
        <w:ind w:left="0" w:leftChars="0" w:right="0" w:rightChars="0" w:firstLine="0" w:firstLineChars="0"/>
        <w:textAlignment w:val="auto"/>
        <w:rPr>
          <w:rFonts w:hint="eastAsia" w:ascii="宋体" w:hAnsi="宋体" w:eastAsia="宋体" w:cs="宋体"/>
          <w:b/>
          <w:bCs/>
          <w:color w:val="000000"/>
          <w:sz w:val="21"/>
          <w:szCs w:val="21"/>
          <w:highlight w:val="none"/>
          <w:lang w:eastAsia="zh-CN"/>
        </w:rPr>
      </w:pPr>
    </w:p>
    <w:p w14:paraId="1AB756C9">
      <w:pPr>
        <w:keepNext w:val="0"/>
        <w:keepLines w:val="0"/>
        <w:pageBreakBefore w:val="0"/>
        <w:tabs>
          <w:tab w:val="left" w:pos="426"/>
        </w:tabs>
        <w:kinsoku/>
        <w:wordWrap/>
        <w:overflowPunct/>
        <w:topLinePunct w:val="0"/>
        <w:autoSpaceDE/>
        <w:autoSpaceDN/>
        <w:bidi w:val="0"/>
        <w:adjustRightInd/>
        <w:spacing w:line="360" w:lineRule="auto"/>
        <w:ind w:left="0" w:leftChars="0" w:right="0" w:rightChars="0" w:firstLine="0" w:firstLineChars="0"/>
        <w:textAlignment w:val="auto"/>
        <w:rPr>
          <w:rFonts w:hint="eastAsia" w:ascii="宋体" w:hAnsi="宋体" w:eastAsia="宋体" w:cs="宋体"/>
          <w:b/>
          <w:color w:val="000000"/>
          <w:kern w:val="0"/>
          <w:sz w:val="21"/>
          <w:szCs w:val="21"/>
          <w:highlight w:val="none"/>
          <w:lang w:val="en-US" w:eastAsia="zh-CN" w:bidi="ar-SA"/>
        </w:rPr>
      </w:pPr>
      <w:r>
        <w:rPr>
          <w:rFonts w:hint="eastAsia" w:ascii="宋体" w:hAnsi="宋体" w:eastAsia="宋体" w:cs="宋体"/>
          <w:b/>
          <w:bCs/>
          <w:color w:val="000000"/>
          <w:sz w:val="21"/>
          <w:szCs w:val="21"/>
          <w:highlight w:val="none"/>
          <w:lang w:eastAsia="zh-CN"/>
        </w:rPr>
        <w:t>五、</w:t>
      </w:r>
      <w:r>
        <w:rPr>
          <w:rFonts w:hint="eastAsia" w:ascii="宋体" w:hAnsi="宋体" w:eastAsia="宋体" w:cs="宋体"/>
          <w:b/>
          <w:color w:val="000000"/>
          <w:kern w:val="0"/>
          <w:sz w:val="21"/>
          <w:szCs w:val="21"/>
          <w:highlight w:val="none"/>
          <w:lang w:val="en-US" w:eastAsia="zh-CN" w:bidi="ar-SA"/>
        </w:rPr>
        <w:t>主要商务要求</w:t>
      </w:r>
    </w:p>
    <w:tbl>
      <w:tblPr>
        <w:tblStyle w:val="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7"/>
        <w:gridCol w:w="7565"/>
      </w:tblGrid>
      <w:tr w14:paraId="5832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3606FFA0">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标的提供的时间</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6043C8C1">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cs="宋体"/>
                <w:bCs/>
                <w:color w:val="0000FF"/>
                <w:sz w:val="21"/>
                <w:szCs w:val="21"/>
                <w:highlight w:val="none"/>
                <w:lang w:val="en-US" w:eastAsia="zh-CN"/>
              </w:rPr>
              <w:t>2</w:t>
            </w:r>
            <w:r>
              <w:rPr>
                <w:rFonts w:hint="eastAsia" w:ascii="宋体" w:hAnsi="宋体" w:eastAsia="宋体" w:cs="宋体"/>
                <w:bCs/>
                <w:color w:val="0000FF"/>
                <w:sz w:val="21"/>
                <w:szCs w:val="21"/>
                <w:highlight w:val="none"/>
                <w:lang w:eastAsia="zh-CN"/>
              </w:rPr>
              <w:t>年，具体起止时间以合同签订时间为准。</w:t>
            </w:r>
          </w:p>
        </w:tc>
      </w:tr>
      <w:tr w14:paraId="4C02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570B247F">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标的提供的地点</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49FEBCA2">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28"/>
                <w:sz w:val="21"/>
                <w:szCs w:val="21"/>
                <w:highlight w:val="none"/>
              </w:rPr>
              <w:t>采购人指定的地点。</w:t>
            </w:r>
          </w:p>
        </w:tc>
      </w:tr>
      <w:tr w14:paraId="0DC1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61249F09">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付款方式</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2E8BBD17">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rPr>
              <w:t>1、采购人付款采用银行转</w:t>
            </w:r>
            <w:r>
              <w:rPr>
                <w:rFonts w:hint="eastAsia" w:ascii="宋体" w:hAnsi="宋体" w:eastAsia="宋体" w:cs="宋体"/>
                <w:bCs/>
                <w:color w:val="000000"/>
                <w:kern w:val="44"/>
                <w:sz w:val="21"/>
                <w:szCs w:val="21"/>
                <w:highlight w:val="none"/>
                <w:lang w:eastAsia="zh-CN"/>
              </w:rPr>
              <w:t>账</w:t>
            </w:r>
            <w:r>
              <w:rPr>
                <w:rFonts w:hint="eastAsia" w:ascii="宋体" w:hAnsi="宋体" w:eastAsia="宋体" w:cs="宋体"/>
                <w:bCs/>
                <w:color w:val="000000"/>
                <w:kern w:val="44"/>
                <w:sz w:val="21"/>
                <w:szCs w:val="21"/>
                <w:highlight w:val="none"/>
              </w:rPr>
              <w:t>或电汇方式。</w:t>
            </w:r>
          </w:p>
          <w:p w14:paraId="12083402">
            <w:pPr>
              <w:pStyle w:val="3"/>
            </w:pPr>
            <w:r>
              <w:rPr>
                <w:rFonts w:hint="eastAsia" w:ascii="宋体" w:hAnsi="宋体" w:eastAsia="宋体" w:cs="宋体"/>
                <w:bCs/>
                <w:color w:val="000000"/>
                <w:kern w:val="44"/>
                <w:sz w:val="21"/>
                <w:szCs w:val="21"/>
                <w:highlight w:val="none"/>
              </w:rPr>
              <w:t>2、采购人</w:t>
            </w:r>
            <w:r>
              <w:rPr>
                <w:rFonts w:hint="eastAsia" w:ascii="宋体" w:hAnsi="宋体" w:eastAsia="宋体" w:cs="宋体"/>
                <w:bCs/>
                <w:color w:val="000000"/>
                <w:kern w:val="44"/>
                <w:sz w:val="21"/>
                <w:szCs w:val="21"/>
                <w:highlight w:val="none"/>
                <w:lang w:val="en-US" w:eastAsia="zh-CN"/>
              </w:rPr>
              <w:t>按季度支付维保服务费用</w:t>
            </w:r>
            <w:r>
              <w:rPr>
                <w:rFonts w:hint="eastAsia" w:ascii="宋体" w:hAnsi="宋体" w:eastAsia="宋体" w:cs="宋体"/>
                <w:bCs/>
                <w:color w:val="000000"/>
                <w:kern w:val="44"/>
                <w:sz w:val="21"/>
                <w:szCs w:val="21"/>
                <w:highlight w:val="none"/>
                <w:lang w:eastAsia="zh-CN"/>
              </w:rPr>
              <w:t>，</w:t>
            </w:r>
            <w:r>
              <w:rPr>
                <w:rFonts w:hint="eastAsia" w:ascii="宋体" w:hAnsi="宋体" w:eastAsia="宋体" w:cs="宋体"/>
                <w:bCs/>
                <w:color w:val="000000"/>
                <w:kern w:val="44"/>
                <w:sz w:val="21"/>
                <w:szCs w:val="21"/>
                <w:highlight w:val="none"/>
                <w:lang w:val="en-US" w:eastAsia="zh-CN"/>
              </w:rPr>
              <w:t>每期维保服务费用为维保服务费用</w:t>
            </w:r>
            <w:r>
              <w:rPr>
                <w:rFonts w:hint="eastAsia" w:ascii="宋体" w:hAnsi="宋体" w:eastAsia="宋体" w:cs="宋体"/>
                <w:bCs/>
                <w:color w:val="000000"/>
                <w:kern w:val="44"/>
                <w:sz w:val="21"/>
                <w:szCs w:val="21"/>
                <w:highlight w:val="none"/>
              </w:rPr>
              <w:t>合同总金额的</w:t>
            </w:r>
            <w:r>
              <w:rPr>
                <w:rFonts w:hint="eastAsia" w:ascii="宋体" w:hAnsi="宋体" w:cs="宋体"/>
                <w:bCs/>
                <w:color w:val="000000"/>
                <w:kern w:val="44"/>
                <w:sz w:val="21"/>
                <w:szCs w:val="21"/>
                <w:highlight w:val="none"/>
                <w:lang w:val="en-US" w:eastAsia="zh-CN"/>
              </w:rPr>
              <w:t>12.5</w:t>
            </w:r>
            <w:r>
              <w:rPr>
                <w:rFonts w:hint="eastAsia" w:ascii="宋体" w:hAnsi="宋体" w:eastAsia="宋体" w:cs="宋体"/>
                <w:bCs/>
                <w:color w:val="000000"/>
                <w:kern w:val="44"/>
                <w:sz w:val="21"/>
                <w:szCs w:val="21"/>
                <w:highlight w:val="none"/>
              </w:rPr>
              <w:t>%</w:t>
            </w:r>
            <w:r>
              <w:rPr>
                <w:rFonts w:hint="eastAsia" w:ascii="宋体" w:hAnsi="宋体" w:eastAsia="宋体" w:cs="宋体"/>
                <w:bCs/>
                <w:color w:val="000000"/>
                <w:kern w:val="44"/>
                <w:sz w:val="21"/>
                <w:szCs w:val="21"/>
                <w:highlight w:val="none"/>
                <w:lang w:eastAsia="zh-CN"/>
              </w:rPr>
              <w:t>，</w:t>
            </w:r>
            <w:r>
              <w:rPr>
                <w:rFonts w:ascii="宋体" w:hAnsi="宋体" w:eastAsia="宋体" w:cs="宋体"/>
                <w:sz w:val="24"/>
                <w:szCs w:val="24"/>
              </w:rPr>
              <w:t>如有考核扣罚，按当期考核评价结果核定实际应付金额，采购人于每季度末收到成交供应商完整结算资料后 30 个日历天内完成支付。</w:t>
            </w:r>
          </w:p>
          <w:p w14:paraId="689C21CE">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lang w:val="en-US" w:eastAsia="zh-CN"/>
              </w:rPr>
              <w:t>3</w:t>
            </w:r>
            <w:r>
              <w:rPr>
                <w:rFonts w:hint="eastAsia" w:ascii="宋体" w:hAnsi="宋体" w:eastAsia="宋体" w:cs="宋体"/>
                <w:bCs/>
                <w:color w:val="000000"/>
                <w:kern w:val="44"/>
                <w:sz w:val="21"/>
                <w:szCs w:val="21"/>
                <w:highlight w:val="none"/>
              </w:rPr>
              <w:t>、</w:t>
            </w:r>
            <w:r>
              <w:rPr>
                <w:rFonts w:hint="eastAsia" w:ascii="宋体" w:hAnsi="宋体" w:eastAsia="宋体" w:cs="宋体"/>
                <w:bCs/>
                <w:color w:val="000000"/>
                <w:kern w:val="44"/>
                <w:sz w:val="21"/>
                <w:szCs w:val="21"/>
                <w:highlight w:val="none"/>
                <w:lang w:val="en-US" w:eastAsia="zh-CN"/>
              </w:rPr>
              <w:t>采购人每季度支付</w:t>
            </w:r>
            <w:r>
              <w:rPr>
                <w:rFonts w:hint="eastAsia" w:ascii="宋体" w:hAnsi="宋体" w:cs="宋体"/>
                <w:bCs/>
                <w:color w:val="000000"/>
                <w:kern w:val="44"/>
                <w:sz w:val="21"/>
                <w:szCs w:val="21"/>
                <w:highlight w:val="none"/>
                <w:lang w:val="en-US" w:eastAsia="zh-CN"/>
              </w:rPr>
              <w:t>设备维修</w:t>
            </w:r>
            <w:r>
              <w:rPr>
                <w:rFonts w:hint="eastAsia" w:ascii="宋体" w:hAnsi="宋体" w:eastAsia="宋体" w:cs="宋体"/>
                <w:bCs/>
                <w:color w:val="000000"/>
                <w:kern w:val="44"/>
                <w:sz w:val="21"/>
                <w:szCs w:val="21"/>
                <w:highlight w:val="none"/>
                <w:lang w:val="en-US" w:eastAsia="zh-CN"/>
              </w:rPr>
              <w:t>、</w:t>
            </w:r>
            <w:r>
              <w:rPr>
                <w:rFonts w:hint="eastAsia" w:ascii="宋体" w:hAnsi="宋体" w:eastAsia="宋体" w:cs="宋体"/>
                <w:bCs/>
                <w:color w:val="000000"/>
                <w:kern w:val="44"/>
                <w:sz w:val="21"/>
                <w:szCs w:val="21"/>
                <w:highlight w:val="green"/>
                <w:lang w:val="en-US" w:eastAsia="zh-CN"/>
              </w:rPr>
              <w:t>数据修复</w:t>
            </w:r>
            <w:r>
              <w:rPr>
                <w:rFonts w:hint="eastAsia" w:ascii="宋体" w:hAnsi="宋体" w:eastAsia="宋体" w:cs="宋体"/>
                <w:bCs/>
                <w:color w:val="000000"/>
                <w:kern w:val="44"/>
                <w:sz w:val="21"/>
                <w:szCs w:val="21"/>
                <w:highlight w:val="none"/>
                <w:lang w:val="en-US" w:eastAsia="zh-CN"/>
              </w:rPr>
              <w:t>、</w:t>
            </w:r>
            <w:r>
              <w:rPr>
                <w:rFonts w:hint="eastAsia" w:ascii="宋体" w:hAnsi="宋体" w:eastAsia="宋体" w:cs="宋体"/>
                <w:bCs/>
                <w:color w:val="000000"/>
                <w:kern w:val="44"/>
                <w:sz w:val="21"/>
                <w:szCs w:val="21"/>
                <w:highlight w:val="none"/>
              </w:rPr>
              <w:t>实际线路开通数量</w:t>
            </w:r>
            <w:r>
              <w:rPr>
                <w:rFonts w:hint="eastAsia" w:ascii="宋体" w:hAnsi="宋体" w:eastAsia="宋体" w:cs="宋体"/>
                <w:bCs/>
                <w:color w:val="000000"/>
                <w:kern w:val="44"/>
                <w:sz w:val="21"/>
                <w:szCs w:val="21"/>
                <w:highlight w:val="none"/>
                <w:lang w:val="en-US" w:eastAsia="zh-CN"/>
              </w:rPr>
              <w:t>等</w:t>
            </w:r>
            <w:r>
              <w:rPr>
                <w:rFonts w:hint="eastAsia" w:ascii="宋体" w:hAnsi="宋体" w:eastAsia="宋体" w:cs="宋体"/>
                <w:bCs/>
                <w:color w:val="000000"/>
                <w:kern w:val="44"/>
                <w:sz w:val="21"/>
                <w:szCs w:val="21"/>
                <w:highlight w:val="green"/>
                <w:lang w:val="en-US" w:eastAsia="zh-CN"/>
              </w:rPr>
              <w:t>费用，采购人</w:t>
            </w:r>
            <w:r>
              <w:rPr>
                <w:rFonts w:hint="eastAsia" w:ascii="宋体" w:hAnsi="宋体" w:eastAsia="宋体" w:cs="宋体"/>
                <w:bCs/>
                <w:color w:val="000000"/>
                <w:kern w:val="44"/>
                <w:sz w:val="21"/>
                <w:szCs w:val="21"/>
                <w:highlight w:val="none"/>
                <w:lang w:val="en-US" w:eastAsia="zh-CN"/>
              </w:rPr>
              <w:t>收到业务科室、信息科以及成交供应商共同签字确认的维修或工作量确认单以及对应发票后支付。（按照实际工作量结算）。</w:t>
            </w:r>
          </w:p>
          <w:p w14:paraId="7A093A83">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lang w:val="en-US" w:eastAsia="zh-CN"/>
              </w:rPr>
              <w:t>4、</w:t>
            </w:r>
            <w:r>
              <w:rPr>
                <w:rFonts w:hint="eastAsia" w:ascii="宋体" w:hAnsi="宋体" w:eastAsia="宋体" w:cs="宋体"/>
                <w:bCs/>
                <w:color w:val="000000"/>
                <w:kern w:val="44"/>
                <w:sz w:val="21"/>
                <w:szCs w:val="21"/>
                <w:highlight w:val="none"/>
              </w:rPr>
              <w:t>成交供应商凭以下有效文件与采购人结算：</w:t>
            </w:r>
          </w:p>
          <w:p w14:paraId="13BB20EF">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rPr>
              <w:t>（1）合同；</w:t>
            </w:r>
          </w:p>
          <w:p w14:paraId="01C7E755">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rPr>
              <w:t>（2）成交供应商开具的正式发票；</w:t>
            </w:r>
          </w:p>
          <w:p w14:paraId="0F8EED7F">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rPr>
              <w:t>（3）进场实施确认书；</w:t>
            </w:r>
          </w:p>
          <w:p w14:paraId="6AC3BCA6">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00"/>
                <w:kern w:val="44"/>
                <w:sz w:val="21"/>
                <w:szCs w:val="21"/>
                <w:highlight w:val="none"/>
              </w:rPr>
              <w:t>（4）验收报告。</w:t>
            </w:r>
          </w:p>
          <w:p w14:paraId="53C07DCB">
            <w:pPr>
              <w:pStyle w:val="4"/>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rPr>
                <w:rFonts w:hint="eastAsia" w:ascii="宋体" w:hAnsi="宋体" w:eastAsia="宋体" w:cs="宋体"/>
                <w:color w:val="0000FF"/>
                <w:sz w:val="21"/>
                <w:szCs w:val="21"/>
                <w:highlight w:val="none"/>
              </w:rPr>
            </w:pPr>
            <w:r>
              <w:rPr>
                <w:rFonts w:hint="eastAsia" w:ascii="宋体" w:hAnsi="宋体" w:eastAsia="宋体" w:cs="宋体"/>
                <w:bCs/>
                <w:color w:val="000000"/>
                <w:kern w:val="44"/>
                <w:sz w:val="21"/>
                <w:szCs w:val="21"/>
                <w:highlight w:val="none"/>
                <w:lang w:val="en-US" w:eastAsia="zh-CN"/>
              </w:rPr>
              <w:t>5、</w:t>
            </w:r>
            <w:r>
              <w:rPr>
                <w:rFonts w:hint="eastAsia" w:ascii="宋体" w:hAnsi="宋体" w:eastAsia="宋体" w:cs="宋体"/>
                <w:color w:val="0000FF"/>
                <w:sz w:val="21"/>
                <w:szCs w:val="21"/>
                <w:highlight w:val="none"/>
              </w:rPr>
              <w:t>因采购人使用的是财政资金 ，若审批延迟，则相应付款延迟，不视为采购人违约。</w:t>
            </w:r>
            <w:r>
              <w:rPr>
                <w:rFonts w:hint="eastAsia" w:ascii="宋体" w:hAnsi="宋体" w:eastAsia="宋体" w:cs="宋体"/>
                <w:color w:val="0000FF"/>
                <w:sz w:val="21"/>
                <w:szCs w:val="21"/>
                <w:highlight w:val="none"/>
                <w:lang w:eastAsia="zh-CN"/>
              </w:rPr>
              <w:t>供应商对此应知悉且无异议。</w:t>
            </w:r>
          </w:p>
          <w:p w14:paraId="07E6376E">
            <w:pPr>
              <w:pStyle w:val="4"/>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44"/>
                <w:sz w:val="21"/>
                <w:szCs w:val="21"/>
                <w:highlight w:val="none"/>
              </w:rPr>
            </w:pPr>
            <w:r>
              <w:rPr>
                <w:rFonts w:hint="eastAsia" w:ascii="宋体" w:hAnsi="宋体" w:eastAsia="宋体" w:cs="宋体"/>
                <w:bCs/>
                <w:color w:val="0000FF"/>
                <w:kern w:val="44"/>
                <w:sz w:val="21"/>
                <w:szCs w:val="21"/>
                <w:highlight w:val="none"/>
                <w:lang w:val="en-US" w:eastAsia="zh-CN"/>
              </w:rPr>
              <w:t>6、</w:t>
            </w:r>
            <w:r>
              <w:rPr>
                <w:rFonts w:hint="eastAsia" w:ascii="宋体" w:hAnsi="宋体" w:eastAsia="宋体" w:cs="宋体"/>
                <w:bCs/>
                <w:color w:val="0000FF"/>
                <w:kern w:val="44"/>
                <w:sz w:val="21"/>
                <w:szCs w:val="21"/>
                <w:highlight w:val="none"/>
              </w:rPr>
              <w:t>如因政策影响拨款未能及时到位的，成交供应商不得以此为由而不履行(或不完全履行)合同规定的义务。</w:t>
            </w:r>
          </w:p>
        </w:tc>
      </w:tr>
      <w:tr w14:paraId="6B8B5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4"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450D9744">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验收要求</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6C6F92B0">
            <w:pPr>
              <w:pStyle w:val="11"/>
              <w:keepNext w:val="0"/>
              <w:keepLines w:val="0"/>
              <w:pageBreakBefore w:val="0"/>
              <w:widowControl/>
              <w:suppressLineNumbers w:val="0"/>
              <w:tabs>
                <w:tab w:val="left" w:pos="640"/>
              </w:tabs>
              <w:kinsoku/>
              <w:wordWrap/>
              <w:overflowPunct/>
              <w:topLinePunct w:val="0"/>
              <w:autoSpaceDE/>
              <w:autoSpaceDN/>
              <w:bidi w:val="0"/>
              <w:adjustRightInd/>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rPr>
              <w:t>1.</w:t>
            </w:r>
            <w:r>
              <w:rPr>
                <w:rFonts w:hint="eastAsia" w:ascii="宋体" w:hAnsi="宋体" w:eastAsia="宋体" w:cs="宋体"/>
                <w:b w:val="0"/>
                <w:bCs/>
                <w:color w:val="000000"/>
                <w:sz w:val="21"/>
                <w:szCs w:val="21"/>
                <w:highlight w:val="none"/>
                <w:lang w:eastAsia="zh-CN"/>
              </w:rPr>
              <w:t>采购人成立验收小组，对本项目进行验收。</w:t>
            </w:r>
          </w:p>
          <w:p w14:paraId="23CBE1DC">
            <w:pPr>
              <w:pStyle w:val="11"/>
              <w:keepNext w:val="0"/>
              <w:keepLines w:val="0"/>
              <w:pageBreakBefore w:val="0"/>
              <w:widowControl/>
              <w:suppressLineNumbers w:val="0"/>
              <w:tabs>
                <w:tab w:val="left" w:pos="640"/>
              </w:tabs>
              <w:kinsoku/>
              <w:wordWrap/>
              <w:overflowPunct/>
              <w:topLinePunct w:val="0"/>
              <w:autoSpaceDE/>
              <w:autoSpaceDN/>
              <w:bidi w:val="0"/>
              <w:adjustRightInd/>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rPr>
              <w:t>2.</w:t>
            </w:r>
            <w:r>
              <w:rPr>
                <w:rFonts w:hint="eastAsia" w:ascii="宋体" w:hAnsi="宋体" w:eastAsia="宋体" w:cs="宋体"/>
                <w:bCs/>
                <w:color w:val="000000"/>
                <w:kern w:val="2"/>
                <w:sz w:val="21"/>
                <w:szCs w:val="21"/>
                <w:highlight w:val="none"/>
              </w:rPr>
              <w:t>验收依据：磋商文件、成交供应商的响应文件、成交通知书、合同</w:t>
            </w:r>
            <w:r>
              <w:rPr>
                <w:rFonts w:hint="eastAsia" w:ascii="宋体" w:hAnsi="宋体" w:eastAsia="宋体" w:cs="宋体"/>
                <w:bCs/>
                <w:color w:val="000000"/>
                <w:kern w:val="2"/>
                <w:sz w:val="21"/>
                <w:szCs w:val="21"/>
                <w:highlight w:val="none"/>
                <w:lang w:eastAsia="zh-CN"/>
              </w:rPr>
              <w:t>、考核</w:t>
            </w:r>
            <w:r>
              <w:rPr>
                <w:rFonts w:hint="eastAsia" w:ascii="宋体" w:hAnsi="宋体" w:eastAsia="宋体" w:cs="宋体"/>
                <w:bCs/>
                <w:color w:val="000000"/>
                <w:kern w:val="2"/>
                <w:sz w:val="21"/>
                <w:szCs w:val="21"/>
                <w:highlight w:val="none"/>
              </w:rPr>
              <w:t>等文本。</w:t>
            </w:r>
          </w:p>
          <w:p w14:paraId="49092274">
            <w:pPr>
              <w:pStyle w:val="11"/>
              <w:keepNext w:val="0"/>
              <w:keepLines w:val="0"/>
              <w:pageBreakBefore w:val="0"/>
              <w:widowControl/>
              <w:suppressLineNumbers w:val="0"/>
              <w:tabs>
                <w:tab w:val="left" w:pos="640"/>
              </w:tabs>
              <w:kinsoku/>
              <w:wordWrap/>
              <w:overflowPunct/>
              <w:topLinePunct w:val="0"/>
              <w:autoSpaceDE/>
              <w:autoSpaceDN/>
              <w:bidi w:val="0"/>
              <w:adjustRightInd/>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rPr>
              <w:t>3</w:t>
            </w:r>
            <w:r>
              <w:rPr>
                <w:rFonts w:hint="eastAsia" w:ascii="宋体" w:hAnsi="宋体" w:eastAsia="宋体" w:cs="宋体"/>
                <w:bCs/>
                <w:color w:val="000000"/>
                <w:kern w:val="2"/>
                <w:sz w:val="21"/>
                <w:szCs w:val="21"/>
                <w:highlight w:val="none"/>
              </w:rPr>
              <w:t>.验收合格的，双方代表在验收报告上签字确认。验收不合格的，成交供应商应当根据验收意见进行整改，直至验收通过。</w:t>
            </w:r>
          </w:p>
          <w:p w14:paraId="6D0C92BC">
            <w:pPr>
              <w:pStyle w:val="11"/>
              <w:keepNext w:val="0"/>
              <w:keepLines w:val="0"/>
              <w:pageBreakBefore w:val="0"/>
              <w:widowControl/>
              <w:suppressLineNumbers w:val="0"/>
              <w:tabs>
                <w:tab w:val="left" w:pos="640"/>
              </w:tabs>
              <w:kinsoku/>
              <w:wordWrap/>
              <w:overflowPunct/>
              <w:topLinePunct w:val="0"/>
              <w:autoSpaceDE/>
              <w:autoSpaceDN/>
              <w:bidi w:val="0"/>
              <w:adjustRightInd/>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rPr>
              <w:t>4</w:t>
            </w:r>
            <w:r>
              <w:rPr>
                <w:rFonts w:hint="eastAsia" w:ascii="宋体" w:hAnsi="宋体" w:eastAsia="宋体" w:cs="宋体"/>
                <w:bCs/>
                <w:color w:val="000000"/>
                <w:kern w:val="2"/>
                <w:sz w:val="21"/>
                <w:szCs w:val="21"/>
                <w:highlight w:val="none"/>
              </w:rPr>
              <w:t>.成交供应商应于验收后向采购人提供技术文档的归纳、整理、提交，并提供完整的技术资料。</w:t>
            </w:r>
          </w:p>
        </w:tc>
      </w:tr>
      <w:tr w14:paraId="5452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2AC1BEDE">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履约保证金</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12AE8AED">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rPr>
                <w:rFonts w:hint="eastAsia" w:ascii="宋体" w:hAnsi="宋体" w:eastAsia="宋体" w:cs="宋体"/>
                <w:color w:val="000000"/>
                <w:sz w:val="21"/>
                <w:szCs w:val="21"/>
                <w:highlight w:val="none"/>
              </w:rPr>
            </w:pPr>
            <w:r>
              <w:rPr>
                <w:rFonts w:hint="eastAsia" w:ascii="宋体" w:hAnsi="宋体" w:eastAsia="宋体" w:cs="宋体"/>
                <w:bCs/>
                <w:color w:val="000000"/>
                <w:kern w:val="44"/>
                <w:sz w:val="21"/>
                <w:szCs w:val="21"/>
                <w:highlight w:val="none"/>
                <w:lang w:val="en-US" w:eastAsia="zh-CN"/>
              </w:rPr>
              <w:t>不收取。</w:t>
            </w:r>
          </w:p>
        </w:tc>
      </w:tr>
      <w:tr w14:paraId="0700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757" w:type="dxa"/>
            <w:tcBorders>
              <w:top w:val="single" w:color="auto" w:sz="4" w:space="0"/>
              <w:left w:val="single" w:color="auto" w:sz="4" w:space="0"/>
              <w:bottom w:val="single" w:color="auto" w:sz="4" w:space="0"/>
              <w:right w:val="single" w:color="auto" w:sz="4" w:space="0"/>
            </w:tcBorders>
            <w:noWrap w:val="0"/>
            <w:vAlign w:val="center"/>
          </w:tcPr>
          <w:p w14:paraId="20CB8633">
            <w:pPr>
              <w:keepNext w:val="0"/>
              <w:keepLines w:val="0"/>
              <w:pageBreakBefore w:val="0"/>
              <w:suppressLineNumbers w:val="0"/>
              <w:tabs>
                <w:tab w:val="left" w:pos="426"/>
              </w:tabs>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w:t>
            </w:r>
          </w:p>
        </w:tc>
        <w:tc>
          <w:tcPr>
            <w:tcW w:w="7565" w:type="dxa"/>
            <w:tcBorders>
              <w:top w:val="single" w:color="auto" w:sz="4" w:space="0"/>
              <w:left w:val="single" w:color="auto" w:sz="4" w:space="0"/>
              <w:bottom w:val="single" w:color="auto" w:sz="4" w:space="0"/>
              <w:right w:val="single" w:color="auto" w:sz="4" w:space="0"/>
            </w:tcBorders>
            <w:noWrap w:val="0"/>
            <w:vAlign w:val="center"/>
          </w:tcPr>
          <w:p w14:paraId="3A1243EC">
            <w:pPr>
              <w:pStyle w:val="12"/>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val="0"/>
                <w:color w:val="000000"/>
                <w:kern w:val="2"/>
                <w:sz w:val="21"/>
                <w:szCs w:val="21"/>
                <w:highlight w:val="none"/>
                <w:lang w:val="en-US" w:eastAsia="zh-CN"/>
              </w:rPr>
            </w:pPr>
            <w:r>
              <w:rPr>
                <w:rFonts w:hint="eastAsia" w:ascii="宋体" w:hAnsi="宋体" w:eastAsia="宋体" w:cs="宋体"/>
                <w:b w:val="0"/>
                <w:color w:val="000000"/>
                <w:kern w:val="2"/>
                <w:sz w:val="21"/>
                <w:szCs w:val="21"/>
                <w:highlight w:val="none"/>
                <w:lang w:val="en-US" w:eastAsia="zh-CN"/>
              </w:rPr>
              <w:t>/</w:t>
            </w:r>
          </w:p>
        </w:tc>
      </w:tr>
    </w:tbl>
    <w:p w14:paraId="298CE14B">
      <w:pPr>
        <w:pStyle w:val="11"/>
        <w:keepNext w:val="0"/>
        <w:keepLines w:val="0"/>
        <w:pageBreakBefore w:val="0"/>
        <w:numPr>
          <w:ilvl w:val="0"/>
          <w:numId w:val="0"/>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lang w:eastAsia="zh-CN"/>
        </w:rPr>
      </w:pPr>
      <w:bookmarkStart w:id="3" w:name="_Toc13185"/>
      <w:bookmarkStart w:id="4" w:name="_Toc15053"/>
    </w:p>
    <w:p w14:paraId="60634401">
      <w:pPr>
        <w:pStyle w:val="11"/>
        <w:keepNext w:val="0"/>
        <w:keepLines w:val="0"/>
        <w:pageBreakBefore w:val="0"/>
        <w:numPr>
          <w:ilvl w:val="0"/>
          <w:numId w:val="0"/>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六、</w:t>
      </w:r>
      <w:r>
        <w:rPr>
          <w:rFonts w:hint="eastAsia" w:ascii="宋体" w:hAnsi="宋体" w:eastAsia="宋体" w:cs="宋体"/>
          <w:b/>
          <w:color w:val="000000"/>
          <w:sz w:val="21"/>
          <w:szCs w:val="21"/>
          <w:highlight w:val="none"/>
        </w:rPr>
        <w:t>技术标准与要求</w:t>
      </w:r>
      <w:bookmarkEnd w:id="3"/>
      <w:bookmarkEnd w:id="4"/>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750"/>
        <w:gridCol w:w="914"/>
        <w:gridCol w:w="652"/>
        <w:gridCol w:w="1561"/>
        <w:gridCol w:w="1219"/>
      </w:tblGrid>
      <w:tr w14:paraId="1585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noWrap w:val="0"/>
            <w:vAlign w:val="center"/>
          </w:tcPr>
          <w:p w14:paraId="577E512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4086" w:type="dxa"/>
            <w:tcBorders>
              <w:top w:val="single" w:color="auto" w:sz="4" w:space="0"/>
              <w:left w:val="single" w:color="auto" w:sz="4" w:space="0"/>
              <w:bottom w:val="single" w:color="auto" w:sz="4" w:space="0"/>
              <w:right w:val="single" w:color="auto" w:sz="4" w:space="0"/>
            </w:tcBorders>
            <w:noWrap w:val="0"/>
            <w:vAlign w:val="center"/>
          </w:tcPr>
          <w:p w14:paraId="34D5CAA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标的名称</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185096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w:t>
            </w:r>
          </w:p>
        </w:tc>
        <w:tc>
          <w:tcPr>
            <w:tcW w:w="676" w:type="dxa"/>
            <w:tcBorders>
              <w:top w:val="single" w:color="auto" w:sz="4" w:space="0"/>
              <w:left w:val="single" w:color="auto" w:sz="4" w:space="0"/>
              <w:bottom w:val="single" w:color="auto" w:sz="4" w:space="0"/>
              <w:right w:val="single" w:color="auto" w:sz="4" w:space="0"/>
            </w:tcBorders>
            <w:noWrap w:val="0"/>
            <w:vAlign w:val="center"/>
          </w:tcPr>
          <w:p w14:paraId="0D926C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163771C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预算总价</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284CAA6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技术要求</w:t>
            </w:r>
          </w:p>
        </w:tc>
      </w:tr>
      <w:tr w14:paraId="4772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tcBorders>
              <w:top w:val="single" w:color="auto" w:sz="4" w:space="0"/>
              <w:left w:val="single" w:color="auto" w:sz="4" w:space="0"/>
              <w:bottom w:val="single" w:color="auto" w:sz="4" w:space="0"/>
              <w:right w:val="single" w:color="auto" w:sz="4" w:space="0"/>
            </w:tcBorders>
            <w:noWrap w:val="0"/>
            <w:vAlign w:val="center"/>
          </w:tcPr>
          <w:p w14:paraId="257653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1</w:t>
            </w:r>
          </w:p>
        </w:tc>
        <w:tc>
          <w:tcPr>
            <w:tcW w:w="4086" w:type="dxa"/>
            <w:tcBorders>
              <w:top w:val="single" w:color="auto" w:sz="4" w:space="0"/>
              <w:left w:val="single" w:color="auto" w:sz="4" w:space="0"/>
              <w:bottom w:val="single" w:color="auto" w:sz="4" w:space="0"/>
              <w:right w:val="single" w:color="auto" w:sz="4" w:space="0"/>
            </w:tcBorders>
            <w:noWrap w:val="0"/>
            <w:vAlign w:val="center"/>
          </w:tcPr>
          <w:p w14:paraId="191EB3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sz w:val="21"/>
                <w:szCs w:val="21"/>
                <w:highlight w:val="none"/>
                <w:lang w:bidi="ar"/>
              </w:rPr>
            </w:pPr>
            <w:r>
              <w:rPr>
                <w:rFonts w:hint="eastAsia" w:ascii="宋体" w:hAnsi="宋体" w:cs="宋体"/>
                <w:color w:val="000000"/>
                <w:sz w:val="21"/>
                <w:szCs w:val="21"/>
                <w:highlight w:val="none"/>
                <w:lang w:eastAsia="zh-CN"/>
              </w:rPr>
              <w:t>中山市人民医院202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年度计算机设备维保和综合布线项目</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2E7B3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项</w:t>
            </w:r>
          </w:p>
        </w:tc>
        <w:tc>
          <w:tcPr>
            <w:tcW w:w="676" w:type="dxa"/>
            <w:tcBorders>
              <w:top w:val="single" w:color="auto" w:sz="4" w:space="0"/>
              <w:left w:val="single" w:color="auto" w:sz="4" w:space="0"/>
              <w:bottom w:val="single" w:color="auto" w:sz="4" w:space="0"/>
              <w:right w:val="single" w:color="auto" w:sz="4" w:space="0"/>
            </w:tcBorders>
            <w:noWrap w:val="0"/>
            <w:vAlign w:val="center"/>
          </w:tcPr>
          <w:p w14:paraId="332C43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val="en-US" w:eastAsia="zh-CN" w:bidi="ar"/>
              </w:rPr>
              <w:t>1</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740AEE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Style w:val="16"/>
                <w:rFonts w:hint="eastAsia"/>
                <w:lang w:val="en-US" w:eastAsia="zh-CN"/>
                <w:woUserID w:val="0"/>
              </w:rPr>
            </w:pPr>
            <w:bookmarkStart w:id="5" w:name="_GoBack"/>
            <w:bookmarkEnd w:id="5"/>
          </w:p>
        </w:tc>
        <w:tc>
          <w:tcPr>
            <w:tcW w:w="1305" w:type="dxa"/>
            <w:tcBorders>
              <w:top w:val="single" w:color="auto" w:sz="4" w:space="0"/>
              <w:left w:val="single" w:color="auto" w:sz="4" w:space="0"/>
              <w:bottom w:val="single" w:color="auto" w:sz="4" w:space="0"/>
              <w:right w:val="single" w:color="auto" w:sz="4" w:space="0"/>
            </w:tcBorders>
            <w:noWrap w:val="0"/>
            <w:vAlign w:val="center"/>
          </w:tcPr>
          <w:p w14:paraId="063042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见服务内容及技术要求</w:t>
            </w:r>
          </w:p>
        </w:tc>
      </w:tr>
    </w:tbl>
    <w:p w14:paraId="3CCCE575">
      <w:pPr>
        <w:pStyle w:val="11"/>
        <w:keepNext w:val="0"/>
        <w:keepLines w:val="0"/>
        <w:pageBreakBefore w:val="0"/>
        <w:numPr>
          <w:ilvl w:val="0"/>
          <w:numId w:val="0"/>
        </w:numPr>
        <w:tabs>
          <w:tab w:val="left" w:pos="640"/>
        </w:tabs>
        <w:kinsoku/>
        <w:wordWrap/>
        <w:overflowPunct/>
        <w:topLinePunct w:val="0"/>
        <w:autoSpaceDE/>
        <w:autoSpaceDN/>
        <w:bidi w:val="0"/>
        <w:adjustRightInd/>
        <w:spacing w:line="360" w:lineRule="auto"/>
        <w:ind w:left="0" w:leftChars="0" w:right="0" w:rightChars="0" w:firstLine="0" w:firstLineChars="0"/>
        <w:textAlignment w:val="auto"/>
        <w:outlineLvl w:val="1"/>
        <w:rPr>
          <w:rFonts w:hint="eastAsia" w:ascii="宋体" w:hAnsi="宋体" w:eastAsia="宋体" w:cs="宋体"/>
          <w:b/>
          <w:color w:val="000000"/>
          <w:sz w:val="21"/>
          <w:szCs w:val="21"/>
          <w:highlight w:val="none"/>
          <w:lang w:eastAsia="zh-CN"/>
        </w:rPr>
      </w:pPr>
    </w:p>
    <w:p w14:paraId="297C228C">
      <w:pPr>
        <w:keepNext w:val="0"/>
        <w:keepLines w:val="0"/>
        <w:pageBreakBefore w:val="0"/>
        <w:numPr>
          <w:ilvl w:val="0"/>
          <w:numId w:val="0"/>
        </w:numPr>
        <w:tabs>
          <w:tab w:val="left" w:pos="426"/>
        </w:tabs>
        <w:kinsoku/>
        <w:wordWrap/>
        <w:overflowPunct/>
        <w:topLinePunct w:val="0"/>
        <w:autoSpaceDE/>
        <w:autoSpaceDN/>
        <w:bidi w:val="0"/>
        <w:adjustRightInd/>
        <w:spacing w:line="360" w:lineRule="auto"/>
        <w:ind w:left="0" w:leftChars="0" w:right="0" w:rightChars="0" w:firstLine="0" w:firstLineChars="0"/>
        <w:outlineLvl w:val="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七、服务内容及技术要求</w:t>
      </w:r>
    </w:p>
    <w:p w14:paraId="6219EE7A">
      <w:pPr>
        <w:keepNext w:val="0"/>
        <w:keepLines w:val="0"/>
        <w:pageBreakBefore w:val="0"/>
        <w:numPr>
          <w:ilvl w:val="0"/>
          <w:numId w:val="0"/>
        </w:numPr>
        <w:tabs>
          <w:tab w:val="left" w:pos="426"/>
        </w:tabs>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lang w:val="en-US" w:eastAsia="zh-CN"/>
        </w:rPr>
      </w:pPr>
      <w:r>
        <w:rPr>
          <w:rFonts w:hint="eastAsia" w:ascii="宋体" w:hAnsi="宋体" w:eastAsia="宋体" w:cs="宋体"/>
          <w:b/>
          <w:bCs/>
          <w:color w:val="000000"/>
          <w:kern w:val="28"/>
          <w:sz w:val="21"/>
          <w:szCs w:val="21"/>
          <w:lang w:val="en-US" w:eastAsia="zh-CN"/>
        </w:rPr>
        <w:t>（一）驻场维保服务内容</w:t>
      </w:r>
    </w:p>
    <w:p w14:paraId="785BCE1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00000"/>
          <w:kern w:val="28"/>
          <w:sz w:val="21"/>
          <w:szCs w:val="21"/>
          <w:lang w:val="en-US" w:eastAsia="zh-CN"/>
        </w:rPr>
      </w:pPr>
      <w:r>
        <w:rPr>
          <w:rFonts w:hint="eastAsia" w:ascii="宋体" w:hAnsi="宋体" w:eastAsia="宋体" w:cs="宋体"/>
          <w:color w:val="000000"/>
          <w:kern w:val="28"/>
          <w:sz w:val="21"/>
          <w:szCs w:val="21"/>
          <w:lang w:val="en-US"/>
        </w:rPr>
        <w:t>项目服务</w:t>
      </w:r>
      <w:r>
        <w:rPr>
          <w:rFonts w:hint="eastAsia" w:ascii="宋体" w:hAnsi="宋体" w:eastAsia="宋体" w:cs="宋体"/>
          <w:color w:val="000000"/>
          <w:kern w:val="28"/>
          <w:sz w:val="21"/>
          <w:szCs w:val="21"/>
          <w:lang w:val="en-US" w:eastAsia="zh-CN"/>
        </w:rPr>
        <w:t>内容</w:t>
      </w:r>
      <w:r>
        <w:rPr>
          <w:rFonts w:hint="eastAsia" w:ascii="宋体" w:hAnsi="宋体" w:eastAsia="宋体" w:cs="宋体"/>
          <w:color w:val="000000"/>
          <w:kern w:val="28"/>
          <w:sz w:val="21"/>
          <w:szCs w:val="21"/>
          <w:lang w:val="en-US"/>
        </w:rPr>
        <w:t>包括中山市人民医院及各分院的计算机相关设备维护及保养、突发或临时的</w:t>
      </w:r>
      <w:r>
        <w:rPr>
          <w:rFonts w:hint="eastAsia" w:ascii="宋体" w:hAnsi="宋体" w:eastAsia="宋体" w:cs="宋体"/>
          <w:color w:val="000000"/>
          <w:kern w:val="28"/>
          <w:sz w:val="21"/>
          <w:szCs w:val="21"/>
          <w:lang w:val="en-US" w:eastAsia="zh-CN"/>
        </w:rPr>
        <w:t>采购人</w:t>
      </w:r>
      <w:r>
        <w:rPr>
          <w:rFonts w:hint="eastAsia" w:ascii="宋体" w:hAnsi="宋体" w:eastAsia="宋体" w:cs="宋体"/>
          <w:color w:val="000000"/>
          <w:kern w:val="28"/>
          <w:sz w:val="21"/>
          <w:szCs w:val="21"/>
          <w:lang w:val="en-US"/>
        </w:rPr>
        <w:t>信息化相关工作所需的服务支撑工作。</w:t>
      </w:r>
    </w:p>
    <w:p w14:paraId="5FBF9E1E">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rPr>
        <w:t>1.报废期约定</w:t>
      </w:r>
    </w:p>
    <w:p w14:paraId="305FC35F">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一般情况下，设备报废期如下：</w:t>
      </w:r>
    </w:p>
    <w:p w14:paraId="080EDC96">
      <w:pPr>
        <w:pStyle w:val="13"/>
        <w:keepNext w:val="0"/>
        <w:keepLines w:val="0"/>
        <w:pageBreakBefore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电脑（含显示器）：10年。</w:t>
      </w:r>
    </w:p>
    <w:p w14:paraId="143B1A60">
      <w:pPr>
        <w:pStyle w:val="13"/>
        <w:keepNext w:val="0"/>
        <w:keepLines w:val="0"/>
        <w:pageBreakBefore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针式打印机：10年。</w:t>
      </w:r>
    </w:p>
    <w:p w14:paraId="676D6761">
      <w:pPr>
        <w:pStyle w:val="13"/>
        <w:keepNext w:val="0"/>
        <w:keepLines w:val="0"/>
        <w:pageBreakBefore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其他打印机按医院规定年限报废。</w:t>
      </w:r>
    </w:p>
    <w:p w14:paraId="6AB20B95">
      <w:pPr>
        <w:pStyle w:val="13"/>
        <w:keepNext w:val="0"/>
        <w:keepLines w:val="0"/>
        <w:pageBreakBefore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特殊情况，需双方沟通确认。</w:t>
      </w:r>
    </w:p>
    <w:p w14:paraId="6554293B">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rPr>
        <w:t>2.软件维护</w:t>
      </w:r>
    </w:p>
    <w:p w14:paraId="0C08D2CE">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操作系统的安装、调试及升级。</w:t>
      </w:r>
    </w:p>
    <w:p w14:paraId="7C72EBE0">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外设（打印机等设备）的相关驱动程序及软件的安装调试。</w:t>
      </w:r>
    </w:p>
    <w:p w14:paraId="799E97BD">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常用工具软件的安装，经医院授权的信息系统安装、升级并排除软件使用过程中的故障。</w:t>
      </w:r>
    </w:p>
    <w:p w14:paraId="683CE397">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解决软件冲突造成的系统故障。</w:t>
      </w:r>
    </w:p>
    <w:p w14:paraId="1E232CAB">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对计算机进行病毒检测和清除，防止病毒扩散。</w:t>
      </w:r>
    </w:p>
    <w:p w14:paraId="6D85A772">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计算机标配的软件备份，包括随机恢复光盘，附带赠送软件、驱动程序等。</w:t>
      </w:r>
    </w:p>
    <w:p w14:paraId="5A9828B3">
      <w:pPr>
        <w:pStyle w:val="13"/>
        <w:keepNext w:val="0"/>
        <w:keepLines w:val="0"/>
        <w:pageBreakBefore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计算机外设的软件备份。</w:t>
      </w:r>
    </w:p>
    <w:p w14:paraId="2C06F82F">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color w:val="000000"/>
          <w:kern w:val="28"/>
          <w:sz w:val="21"/>
          <w:szCs w:val="21"/>
        </w:rPr>
      </w:pPr>
      <w:r>
        <w:rPr>
          <w:rFonts w:hint="eastAsia" w:ascii="宋体" w:hAnsi="宋体" w:eastAsia="宋体" w:cs="宋体"/>
          <w:b/>
          <w:color w:val="000000"/>
          <w:kern w:val="28"/>
          <w:sz w:val="21"/>
          <w:szCs w:val="21"/>
        </w:rPr>
        <w:t>3.硬件维护</w:t>
      </w:r>
    </w:p>
    <w:p w14:paraId="5D3E396A">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color w:val="000000"/>
          <w:kern w:val="28"/>
          <w:sz w:val="21"/>
          <w:szCs w:val="21"/>
        </w:rPr>
        <w:t>▲</w:t>
      </w:r>
      <w:r>
        <w:rPr>
          <w:rFonts w:hint="eastAsia" w:ascii="宋体" w:hAnsi="宋体" w:eastAsia="宋体" w:cs="宋体"/>
          <w:b w:val="0"/>
          <w:color w:val="000000"/>
          <w:kern w:val="28"/>
          <w:sz w:val="21"/>
          <w:szCs w:val="21"/>
        </w:rPr>
        <w:t>医院在用的所有</w:t>
      </w:r>
      <w:r>
        <w:rPr>
          <w:rFonts w:hint="eastAsia" w:ascii="宋体" w:hAnsi="宋体" w:eastAsia="宋体" w:cs="宋体"/>
          <w:b w:val="0"/>
          <w:color w:val="000000"/>
          <w:kern w:val="28"/>
          <w:sz w:val="21"/>
          <w:szCs w:val="21"/>
          <w:lang w:val="en-US"/>
        </w:rPr>
        <w:t>电脑主机、显示器、笔记本、一体机、自助机、打印机、复印机、扫描仪、条码打印机、交换机、PDA、平板等终端设备的故障维修，有义务增加和更换非消耗品类的配件。</w:t>
      </w:r>
      <w:r>
        <w:rPr>
          <w:rFonts w:hint="eastAsia" w:ascii="宋体" w:hAnsi="宋体" w:eastAsia="宋体" w:cs="宋体"/>
          <w:b w:val="0"/>
          <w:color w:val="000000"/>
          <w:kern w:val="28"/>
          <w:sz w:val="21"/>
          <w:szCs w:val="21"/>
          <w:lang w:val="en-US" w:eastAsia="zh-CN"/>
        </w:rPr>
        <w:t>（人为损坏的除外）。</w:t>
      </w:r>
    </w:p>
    <w:p w14:paraId="396D1937">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配件故障不能修复需要进行更换时，配置和技术参数不能低于故障配件，配置发生变化时，及时更新设备档案，配件维修及更换由服务方提供，更换下来的故障配件可自行处理。对于更换硬盘的故障，故障硬盘中资料需进行彻底清除或物理破坏，防止数据外泄。</w:t>
      </w:r>
    </w:p>
    <w:p w14:paraId="32CACE47">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负责鼠标、内存、键盘、色带、墨盒、碳粉和硒鼓等耗材的安装和更换服务。</w:t>
      </w:r>
    </w:p>
    <w:p w14:paraId="26497962">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color w:val="000000"/>
          <w:kern w:val="28"/>
          <w:sz w:val="21"/>
          <w:szCs w:val="21"/>
        </w:rPr>
        <w:t>▲</w:t>
      </w:r>
      <w:r>
        <w:rPr>
          <w:rFonts w:hint="eastAsia" w:ascii="宋体" w:hAnsi="宋体" w:eastAsia="宋体" w:cs="宋体"/>
          <w:b w:val="0"/>
          <w:color w:val="000000"/>
          <w:kern w:val="28"/>
          <w:sz w:val="21"/>
          <w:szCs w:val="21"/>
          <w:lang w:val="en-US"/>
        </w:rPr>
        <w:t>网络设备（如：路由器、交换机等）的安装调试，网络故障排除和调试优化(如：安装、更换水晶头等)。</w:t>
      </w:r>
    </w:p>
    <w:p w14:paraId="21A041CA">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咨询和配送服务：各类IT产品的性能和价格的咨询及其配送。</w:t>
      </w:r>
    </w:p>
    <w:p w14:paraId="1176A03D">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定期对计算机设备进行保养维护，定期进行用户满意度调查。</w:t>
      </w:r>
    </w:p>
    <w:p w14:paraId="34B548F4">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对一般信息化设备硬件进行定期巡检、保养，以保障设备运行正常。</w:t>
      </w:r>
    </w:p>
    <w:p w14:paraId="46747720">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按照</w:t>
      </w:r>
      <w:r>
        <w:rPr>
          <w:rFonts w:hint="eastAsia" w:ascii="宋体" w:hAnsi="宋体" w:eastAsia="宋体" w:cs="宋体"/>
          <w:b w:val="0"/>
          <w:color w:val="000000"/>
          <w:kern w:val="28"/>
          <w:sz w:val="21"/>
          <w:szCs w:val="21"/>
          <w:lang w:val="en-US" w:eastAsia="zh-CN"/>
        </w:rPr>
        <w:t>采购人</w:t>
      </w:r>
      <w:r>
        <w:rPr>
          <w:rFonts w:hint="eastAsia" w:ascii="宋体" w:hAnsi="宋体" w:eastAsia="宋体" w:cs="宋体"/>
          <w:b w:val="0"/>
          <w:color w:val="000000"/>
          <w:kern w:val="28"/>
          <w:sz w:val="21"/>
          <w:szCs w:val="21"/>
          <w:lang w:val="en-US"/>
        </w:rPr>
        <w:t>要求进行硬件设备普查工作，建设可实现动态维护的硬件设备档案库，并实现与</w:t>
      </w:r>
      <w:r>
        <w:rPr>
          <w:rFonts w:hint="eastAsia" w:ascii="宋体" w:hAnsi="宋体" w:eastAsia="宋体" w:cs="宋体"/>
          <w:b w:val="0"/>
          <w:color w:val="000000"/>
          <w:kern w:val="28"/>
          <w:sz w:val="21"/>
          <w:szCs w:val="21"/>
          <w:lang w:val="en-US" w:eastAsia="zh-CN"/>
        </w:rPr>
        <w:t>采购人</w:t>
      </w:r>
      <w:r>
        <w:rPr>
          <w:rFonts w:hint="eastAsia" w:ascii="宋体" w:hAnsi="宋体" w:eastAsia="宋体" w:cs="宋体"/>
          <w:b w:val="0"/>
          <w:color w:val="000000"/>
          <w:kern w:val="28"/>
          <w:sz w:val="21"/>
          <w:szCs w:val="21"/>
          <w:lang w:val="en-US"/>
        </w:rPr>
        <w:t>的物资管理系统的衔接。</w:t>
      </w:r>
    </w:p>
    <w:p w14:paraId="7AD4DE0D">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定期对公用信息化设备外部进行消毒除尘。</w:t>
      </w:r>
    </w:p>
    <w:p w14:paraId="6FD4BC85">
      <w:pPr>
        <w:pStyle w:val="13"/>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检查硬件实际配置与设备登记表是否相符。</w:t>
      </w:r>
    </w:p>
    <w:p w14:paraId="5DE3FD92">
      <w:pPr>
        <w:pStyle w:val="4"/>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rPr>
        <w:t>▲</w:t>
      </w:r>
      <w:r>
        <w:rPr>
          <w:rFonts w:hint="eastAsia" w:ascii="宋体" w:hAnsi="宋体" w:cs="宋体"/>
          <w:b w:val="0"/>
          <w:color w:val="000000"/>
          <w:kern w:val="28"/>
          <w:sz w:val="21"/>
          <w:szCs w:val="21"/>
          <w:lang w:val="en-US" w:eastAsia="zh-CN"/>
        </w:rPr>
        <w:t>现有</w:t>
      </w:r>
      <w:r>
        <w:rPr>
          <w:rFonts w:hint="eastAsia" w:ascii="宋体" w:hAnsi="宋体" w:eastAsia="宋体" w:cs="宋体"/>
          <w:b w:val="0"/>
          <w:color w:val="000000"/>
          <w:kern w:val="28"/>
          <w:sz w:val="21"/>
          <w:szCs w:val="21"/>
          <w:lang w:val="en-US"/>
        </w:rPr>
        <w:t>设备与</w:t>
      </w:r>
      <w:r>
        <w:rPr>
          <w:rFonts w:hint="eastAsia" w:ascii="宋体" w:hAnsi="宋体" w:eastAsia="宋体" w:cs="宋体"/>
          <w:b w:val="0"/>
          <w:color w:val="000000"/>
          <w:kern w:val="28"/>
          <w:sz w:val="21"/>
          <w:szCs w:val="21"/>
          <w:lang w:val="en-US" w:eastAsia="zh-CN"/>
        </w:rPr>
        <w:t>合同履行期内采购人</w:t>
      </w:r>
      <w:r>
        <w:rPr>
          <w:rFonts w:hint="eastAsia" w:ascii="宋体" w:hAnsi="宋体" w:eastAsia="宋体" w:cs="宋体"/>
          <w:b w:val="0"/>
          <w:color w:val="000000"/>
          <w:kern w:val="28"/>
          <w:sz w:val="21"/>
          <w:szCs w:val="21"/>
          <w:lang w:val="en-US"/>
        </w:rPr>
        <w:t>新购的设备的硬件外包服务费用</w:t>
      </w:r>
      <w:r>
        <w:rPr>
          <w:rFonts w:hint="eastAsia" w:ascii="宋体" w:hAnsi="宋体" w:eastAsia="宋体" w:cs="宋体"/>
          <w:b w:val="0"/>
          <w:color w:val="000000"/>
          <w:kern w:val="28"/>
          <w:sz w:val="21"/>
          <w:szCs w:val="21"/>
          <w:lang w:val="en-US" w:eastAsia="zh-CN"/>
        </w:rPr>
        <w:t>均</w:t>
      </w:r>
      <w:r>
        <w:rPr>
          <w:rFonts w:hint="eastAsia" w:ascii="宋体" w:hAnsi="宋体" w:eastAsia="宋体" w:cs="宋体"/>
          <w:b w:val="0"/>
          <w:color w:val="000000"/>
          <w:kern w:val="28"/>
          <w:sz w:val="21"/>
          <w:szCs w:val="21"/>
          <w:lang w:val="en-US"/>
        </w:rPr>
        <w:t>包含在本次服务范围内</w:t>
      </w:r>
      <w:r>
        <w:rPr>
          <w:rFonts w:hint="eastAsia" w:ascii="宋体" w:hAnsi="宋体" w:eastAsia="宋体" w:cs="宋体"/>
          <w:color w:val="000000"/>
          <w:kern w:val="28"/>
          <w:sz w:val="21"/>
          <w:szCs w:val="21"/>
          <w:lang w:val="en-US"/>
        </w:rPr>
        <w:t>。</w:t>
      </w:r>
    </w:p>
    <w:tbl>
      <w:tblPr>
        <w:tblStyle w:val="7"/>
        <w:tblW w:w="0" w:type="auto"/>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1276"/>
        <w:gridCol w:w="7118"/>
      </w:tblGrid>
      <w:tr w14:paraId="796C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trPr>
        <w:tc>
          <w:tcPr>
            <w:tcW w:w="1857" w:type="dxa"/>
            <w:gridSpan w:val="2"/>
            <w:noWrap w:val="0"/>
            <w:vAlign w:val="center"/>
          </w:tcPr>
          <w:p w14:paraId="1BE9F7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类</w:t>
            </w:r>
            <w:r>
              <w:rPr>
                <w:rFonts w:hint="eastAsia" w:ascii="宋体" w:hAnsi="宋体" w:eastAsia="宋体" w:cs="宋体"/>
                <w:b/>
                <w:color w:val="000000"/>
                <w:sz w:val="21"/>
                <w:szCs w:val="21"/>
                <w:lang w:eastAsia="en-US"/>
              </w:rPr>
              <w:tab/>
            </w:r>
            <w:r>
              <w:rPr>
                <w:rFonts w:hint="eastAsia" w:ascii="宋体" w:hAnsi="宋体" w:eastAsia="宋体" w:cs="宋体"/>
                <w:b/>
                <w:color w:val="000000"/>
                <w:sz w:val="21"/>
                <w:szCs w:val="21"/>
                <w:lang w:eastAsia="en-US"/>
              </w:rPr>
              <w:t>型</w:t>
            </w:r>
          </w:p>
        </w:tc>
        <w:tc>
          <w:tcPr>
            <w:tcW w:w="7118" w:type="dxa"/>
            <w:noWrap w:val="0"/>
            <w:vAlign w:val="center"/>
          </w:tcPr>
          <w:p w14:paraId="42E016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color w:val="000000"/>
                <w:sz w:val="21"/>
                <w:szCs w:val="21"/>
                <w:lang w:eastAsia="en-US"/>
              </w:rPr>
            </w:pPr>
            <w:r>
              <w:rPr>
                <w:rFonts w:hint="eastAsia" w:ascii="宋体" w:hAnsi="宋体" w:cs="宋体"/>
                <w:b/>
                <w:color w:val="000000"/>
                <w:sz w:val="21"/>
                <w:szCs w:val="21"/>
                <w:lang w:val="en-US" w:eastAsia="zh-CN"/>
              </w:rPr>
              <w:t>据实结算维修</w:t>
            </w:r>
            <w:r>
              <w:rPr>
                <w:rFonts w:hint="eastAsia" w:ascii="宋体" w:hAnsi="宋体" w:eastAsia="宋体" w:cs="宋体"/>
                <w:b/>
                <w:color w:val="000000"/>
                <w:sz w:val="21"/>
                <w:szCs w:val="21"/>
                <w:lang w:eastAsia="en-US"/>
              </w:rPr>
              <w:t>内容</w:t>
            </w:r>
          </w:p>
        </w:tc>
      </w:tr>
      <w:tr w14:paraId="7853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581" w:type="dxa"/>
            <w:vMerge w:val="restart"/>
            <w:noWrap w:val="0"/>
            <w:vAlign w:val="center"/>
          </w:tcPr>
          <w:p w14:paraId="7BB6249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电脑</w:t>
            </w:r>
          </w:p>
        </w:tc>
        <w:tc>
          <w:tcPr>
            <w:tcW w:w="1276" w:type="dxa"/>
            <w:noWrap w:val="0"/>
            <w:vAlign w:val="center"/>
          </w:tcPr>
          <w:p w14:paraId="0C8B4B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台式主机</w:t>
            </w:r>
          </w:p>
        </w:tc>
        <w:tc>
          <w:tcPr>
            <w:tcW w:w="7118" w:type="dxa"/>
            <w:noWrap w:val="0"/>
            <w:vAlign w:val="center"/>
          </w:tcPr>
          <w:p w14:paraId="33B4F5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主板、CPU、内存、硬盘、光驱、软驱、显卡、声卡、网卡、电源等。（不包消耗品如键盘、鼠标）。</w:t>
            </w:r>
          </w:p>
        </w:tc>
      </w:tr>
      <w:tr w14:paraId="3B8E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5" w:hRule="atLeast"/>
        </w:trPr>
        <w:tc>
          <w:tcPr>
            <w:tcW w:w="581" w:type="dxa"/>
            <w:vMerge w:val="continue"/>
            <w:noWrap w:val="0"/>
            <w:vAlign w:val="top"/>
          </w:tcPr>
          <w:p w14:paraId="39B595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color w:val="000000"/>
                <w:sz w:val="21"/>
                <w:szCs w:val="21"/>
              </w:rPr>
            </w:pPr>
          </w:p>
        </w:tc>
        <w:tc>
          <w:tcPr>
            <w:tcW w:w="1276" w:type="dxa"/>
            <w:noWrap w:val="0"/>
            <w:vAlign w:val="center"/>
          </w:tcPr>
          <w:p w14:paraId="00782CC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显示器</w:t>
            </w:r>
          </w:p>
        </w:tc>
        <w:tc>
          <w:tcPr>
            <w:tcW w:w="7118" w:type="dxa"/>
            <w:noWrap w:val="0"/>
            <w:vAlign w:val="center"/>
          </w:tcPr>
          <w:p w14:paraId="621D007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高压包、行输出管、三基色放大管、IC、整流二极管、电源开关管、电源振荡 IC、二次电源调整管、保险管、电容电阻、电感线圈、偏转线圈、液晶主板、液晶高压板、液晶灯管、液晶适配器、液晶屏等。</w:t>
            </w:r>
          </w:p>
        </w:tc>
      </w:tr>
      <w:tr w14:paraId="655B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6" w:hRule="atLeast"/>
        </w:trPr>
        <w:tc>
          <w:tcPr>
            <w:tcW w:w="581" w:type="dxa"/>
            <w:vMerge w:val="continue"/>
            <w:noWrap w:val="0"/>
            <w:vAlign w:val="top"/>
          </w:tcPr>
          <w:p w14:paraId="275C44F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color w:val="000000"/>
                <w:sz w:val="21"/>
                <w:szCs w:val="21"/>
              </w:rPr>
            </w:pPr>
          </w:p>
        </w:tc>
        <w:tc>
          <w:tcPr>
            <w:tcW w:w="1276" w:type="dxa"/>
            <w:noWrap w:val="0"/>
            <w:vAlign w:val="center"/>
          </w:tcPr>
          <w:p w14:paraId="7363868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一体式电脑</w:t>
            </w:r>
          </w:p>
        </w:tc>
        <w:tc>
          <w:tcPr>
            <w:tcW w:w="7118" w:type="dxa"/>
            <w:noWrap w:val="0"/>
            <w:vAlign w:val="center"/>
          </w:tcPr>
          <w:p w14:paraId="2182CA2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对台式一体机、笔记本电脑、平板电脑、PDA等不同类型设备</w:t>
            </w:r>
            <w:r>
              <w:rPr>
                <w:rFonts w:hint="eastAsia" w:ascii="宋体" w:hAnsi="宋体" w:eastAsia="宋体" w:cs="宋体"/>
                <w:bCs/>
                <w:color w:val="000000"/>
                <w:kern w:val="28"/>
                <w:sz w:val="21"/>
                <w:szCs w:val="21"/>
              </w:rPr>
              <w:t>主板、CPU、内存、硬盘、光驱、散热器、电源、液晶屏等。（不包消耗品如键盘、鼠标）。</w:t>
            </w:r>
          </w:p>
        </w:tc>
      </w:tr>
      <w:tr w14:paraId="21E5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1" w:hRule="atLeast"/>
        </w:trPr>
        <w:tc>
          <w:tcPr>
            <w:tcW w:w="581" w:type="dxa"/>
            <w:vMerge w:val="continue"/>
            <w:noWrap w:val="0"/>
            <w:vAlign w:val="top"/>
          </w:tcPr>
          <w:p w14:paraId="2CE1504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color w:val="000000"/>
                <w:sz w:val="21"/>
                <w:szCs w:val="21"/>
              </w:rPr>
            </w:pPr>
          </w:p>
        </w:tc>
        <w:tc>
          <w:tcPr>
            <w:tcW w:w="1276" w:type="dxa"/>
            <w:noWrap w:val="0"/>
            <w:vAlign w:val="center"/>
          </w:tcPr>
          <w:p w14:paraId="411F4E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val="en-US" w:eastAsia="zh-CN"/>
              </w:rPr>
              <w:t>打印机</w:t>
            </w:r>
          </w:p>
        </w:tc>
        <w:tc>
          <w:tcPr>
            <w:tcW w:w="7118" w:type="dxa"/>
            <w:noWrap w:val="0"/>
            <w:vAlign w:val="center"/>
          </w:tcPr>
          <w:p w14:paraId="0CC77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val="en-US" w:eastAsia="zh-CN"/>
              </w:rPr>
              <w:t>对激光、喷墨、针式、多功能一体机、热敏打印机等不同类型的打印机进行维护，包括但不限于对主板、</w:t>
            </w:r>
            <w:r>
              <w:rPr>
                <w:rFonts w:hint="eastAsia" w:ascii="宋体" w:hAnsi="宋体" w:eastAsia="宋体" w:cs="宋体"/>
                <w:bCs/>
                <w:color w:val="000000"/>
                <w:kern w:val="28"/>
                <w:sz w:val="21"/>
                <w:szCs w:val="21"/>
              </w:rPr>
              <w:t>主板、附板、电源板、头缆、机架、齿轮、主电机、附电机、导纸盒、轮盘传感器（附轮）、出进纸主轴附轴、皮带、导轴、部分传感器、棉垫、字车、计数器、搓纸轮、废墨填充器、泵及附件、按键、纸盒、激光发生器、加热芯、定影膜、定影灯、分离器、搓纸轮、进纸传感器、出纸传感器、进出纸主附轮</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字车导轨、打印头支架、齿轮、指示灯、电机、卷纸轴滚筒、控制面板、卷轴旋钮、导纸器、拖纸器、过纸控制杆、打印头、打印头挡片、打印头断针故障更换断针</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机架、齿轮、主附电机、原稿扫描器、送话器、键盘、纸盒、分离器、搓纸轮、进纸传感器、出纸传感器、进出纸主附轮、电源板等</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不包消耗品如硒鼓、碳粉、墨水、墨盒</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色带架、色带等</w:t>
            </w:r>
            <w:r>
              <w:rPr>
                <w:rFonts w:hint="eastAsia" w:ascii="宋体" w:hAnsi="宋体" w:eastAsia="宋体" w:cs="宋体"/>
                <w:bCs/>
                <w:color w:val="000000"/>
                <w:kern w:val="28"/>
                <w:sz w:val="21"/>
                <w:szCs w:val="21"/>
                <w:lang w:eastAsia="zh-CN"/>
              </w:rPr>
              <w:t>）</w:t>
            </w:r>
          </w:p>
        </w:tc>
      </w:tr>
      <w:tr w14:paraId="6B8D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7" w:hRule="atLeast"/>
        </w:trPr>
        <w:tc>
          <w:tcPr>
            <w:tcW w:w="581" w:type="dxa"/>
            <w:noWrap w:val="0"/>
            <w:vAlign w:val="center"/>
          </w:tcPr>
          <w:p w14:paraId="30A1F7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其他设备</w:t>
            </w:r>
          </w:p>
        </w:tc>
        <w:tc>
          <w:tcPr>
            <w:tcW w:w="1276" w:type="dxa"/>
            <w:noWrap w:val="0"/>
            <w:vAlign w:val="center"/>
          </w:tcPr>
          <w:p w14:paraId="2AA6423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rPr>
              <w:t>其他设备</w:t>
            </w:r>
          </w:p>
        </w:tc>
        <w:tc>
          <w:tcPr>
            <w:tcW w:w="7118" w:type="dxa"/>
            <w:noWrap w:val="0"/>
            <w:vAlign w:val="center"/>
          </w:tcPr>
          <w:p w14:paraId="547316F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负责故障检测、问题排除，必要时联系第三方厂商协助解决。</w:t>
            </w:r>
          </w:p>
          <w:p w14:paraId="1A6E65C5">
            <w:pPr>
              <w:pStyle w:val="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各类液晶屏、音响功放的故障排查。</w:t>
            </w:r>
          </w:p>
        </w:tc>
      </w:tr>
      <w:tr w14:paraId="0401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1" w:hRule="atLeast"/>
        </w:trPr>
        <w:tc>
          <w:tcPr>
            <w:tcW w:w="581" w:type="dxa"/>
            <w:noWrap w:val="0"/>
            <w:vAlign w:val="center"/>
          </w:tcPr>
          <w:p w14:paraId="33E0156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
                <w:color w:val="000000"/>
                <w:sz w:val="21"/>
                <w:szCs w:val="21"/>
                <w:lang w:eastAsia="en-US"/>
              </w:rPr>
              <w:t>服务常规内容</w:t>
            </w:r>
          </w:p>
        </w:tc>
        <w:tc>
          <w:tcPr>
            <w:tcW w:w="8394" w:type="dxa"/>
            <w:gridSpan w:val="2"/>
            <w:noWrap w:val="0"/>
            <w:vAlign w:val="center"/>
          </w:tcPr>
          <w:p w14:paraId="577F25D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1、软件服务：系统软件、应用软件、驱动程序等安装配置、维护升级等服务，如：操作系统、数据库、工具软件、硬件驱动、OFFICE办公软件等安装调试，及软件故障排除，如：死机、中毒、黑屏、蓝屏等；</w:t>
            </w:r>
          </w:p>
          <w:p w14:paraId="4A58D6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2、硬件服务：电脑、PC 服务器、外设、办公设备等硬件的安装调试、故障检测、问题排除， 如：配件更换、维修、升级等；</w:t>
            </w:r>
          </w:p>
          <w:p w14:paraId="21E1294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3、常规网络服务：网络设备（如：路由器、交换机等）的安装调试，网络故障排除和调试优化，设备终端线路整理 如：文件共享/打印共享等；</w:t>
            </w:r>
          </w:p>
          <w:p w14:paraId="45F38E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4、例行巡检服务（即“体检式服务”） ：IT 设备定期巡检和保养维护，如：系统优化、卫生清洁、系统补丁等；</w:t>
            </w:r>
          </w:p>
          <w:p w14:paraId="691E597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5、常规安全服务：防杀病毒、系统补丁、数据备份等；</w:t>
            </w:r>
          </w:p>
          <w:p w14:paraId="1D97A2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6、提供服务报表：如：IT设备的故障分析和采购建议等；</w:t>
            </w:r>
          </w:p>
          <w:p w14:paraId="07ACAB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7、服务专线支持：设立服务报修专线和 24 小时电话支持；</w:t>
            </w:r>
          </w:p>
          <w:p w14:paraId="7FD441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8、咨询和配送服务：各类IT 产品的性能和价格的咨询及其配送；</w:t>
            </w:r>
          </w:p>
          <w:p w14:paraId="105DC73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9、打印耗材的安装服务：为各类打印设备耗材更换提供安装服务。</w:t>
            </w:r>
          </w:p>
          <w:p w14:paraId="437E34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val="en-US" w:eastAsia="zh-CN"/>
              </w:rPr>
              <w:t>10、分诊显示器维护性搬迁。</w:t>
            </w:r>
          </w:p>
        </w:tc>
      </w:tr>
    </w:tbl>
    <w:p w14:paraId="57255C31">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default" w:ascii="宋体" w:hAnsi="宋体" w:eastAsia="宋体" w:cs="宋体"/>
          <w:b w:val="0"/>
          <w:color w:val="000000"/>
          <w:kern w:val="28"/>
          <w:sz w:val="21"/>
          <w:szCs w:val="21"/>
          <w:lang w:val="en-US" w:eastAsia="zh-CN"/>
        </w:rPr>
      </w:pPr>
      <w:r>
        <w:rPr>
          <w:rFonts w:hint="eastAsia" w:ascii="宋体" w:hAnsi="宋体" w:eastAsia="宋体" w:cs="宋体"/>
          <w:b w:val="0"/>
          <w:color w:val="000000"/>
          <w:kern w:val="28"/>
          <w:sz w:val="21"/>
          <w:szCs w:val="21"/>
          <w:lang w:val="en-US" w:eastAsia="zh-CN"/>
        </w:rPr>
        <w:t>（12）</w:t>
      </w:r>
      <w:r>
        <w:rPr>
          <w:rFonts w:hint="eastAsia" w:ascii="宋体" w:hAnsi="宋体" w:eastAsia="宋体" w:cs="宋体"/>
          <w:b w:val="0"/>
          <w:bCs w:val="0"/>
          <w:color w:val="000000"/>
          <w:kern w:val="28"/>
          <w:sz w:val="21"/>
          <w:szCs w:val="21"/>
          <w:lang w:val="en-US" w:eastAsia="zh-CN"/>
        </w:rPr>
        <w:t>供应商须保证合同履行期间所使用的所有产品</w:t>
      </w:r>
      <w:r>
        <w:rPr>
          <w:rFonts w:hint="eastAsia" w:ascii="宋体" w:hAnsi="宋体" w:eastAsia="宋体" w:cs="宋体"/>
          <w:color w:val="auto"/>
          <w:sz w:val="21"/>
          <w:szCs w:val="21"/>
          <w:highlight w:val="none"/>
        </w:rPr>
        <w:t>必须是全新、未拆封且未使用过的原装合格正品（包括零部件），且进货渠道合法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符合国家、省、市法律法规的要求，国内产品或合资厂的产品必须具备出厂合格证</w:t>
      </w:r>
      <w:r>
        <w:rPr>
          <w:rFonts w:hint="eastAsia" w:ascii="宋体" w:hAnsi="宋体" w:eastAsia="宋体" w:cs="宋体"/>
          <w:b w:val="0"/>
          <w:bCs w:val="0"/>
          <w:color w:val="000000"/>
          <w:kern w:val="28"/>
          <w:sz w:val="21"/>
          <w:szCs w:val="21"/>
          <w:lang w:val="en-US" w:eastAsia="zh-CN"/>
        </w:rPr>
        <w:t>。</w:t>
      </w:r>
    </w:p>
    <w:p w14:paraId="029786A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strike w:val="0"/>
          <w:dstrike w:val="0"/>
          <w:color w:val="000000"/>
          <w:kern w:val="28"/>
          <w:sz w:val="21"/>
          <w:szCs w:val="21"/>
        </w:rPr>
      </w:pPr>
      <w:r>
        <w:rPr>
          <w:rFonts w:hint="eastAsia" w:ascii="宋体" w:hAnsi="宋体" w:eastAsia="宋体" w:cs="宋体"/>
          <w:b/>
          <w:strike w:val="0"/>
          <w:dstrike w:val="0"/>
          <w:color w:val="000000"/>
          <w:kern w:val="28"/>
          <w:sz w:val="21"/>
          <w:szCs w:val="21"/>
        </w:rPr>
        <w:t>4.软件技术支持</w:t>
      </w:r>
    </w:p>
    <w:p w14:paraId="427EF20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strike w:val="0"/>
          <w:dstrike w:val="0"/>
          <w:color w:val="000000"/>
          <w:kern w:val="28"/>
          <w:sz w:val="21"/>
          <w:szCs w:val="21"/>
          <w:lang w:val="en-US" w:eastAsia="zh-CN"/>
        </w:rPr>
      </w:pPr>
      <w:r>
        <w:rPr>
          <w:rFonts w:hint="eastAsia" w:ascii="宋体" w:hAnsi="宋体" w:eastAsia="宋体" w:cs="宋体"/>
          <w:bCs/>
          <w:color w:val="000000"/>
          <w:kern w:val="28"/>
          <w:sz w:val="21"/>
          <w:szCs w:val="21"/>
        </w:rPr>
        <w:t>▲</w:t>
      </w:r>
      <w:r>
        <w:rPr>
          <w:rFonts w:hint="eastAsia" w:ascii="宋体" w:hAnsi="宋体" w:eastAsia="宋体" w:cs="宋体"/>
          <w:bCs/>
          <w:strike w:val="0"/>
          <w:dstrike w:val="0"/>
          <w:color w:val="000000"/>
          <w:kern w:val="28"/>
          <w:sz w:val="21"/>
          <w:szCs w:val="21"/>
        </w:rPr>
        <w:t>在服务启动后，</w:t>
      </w:r>
      <w:r>
        <w:rPr>
          <w:rFonts w:hint="eastAsia" w:ascii="宋体" w:hAnsi="宋体" w:eastAsia="宋体" w:cs="宋体"/>
          <w:bCs/>
          <w:strike w:val="0"/>
          <w:dstrike w:val="0"/>
          <w:color w:val="000000"/>
          <w:kern w:val="28"/>
          <w:sz w:val="21"/>
          <w:szCs w:val="21"/>
          <w:lang w:eastAsia="zh-CN"/>
        </w:rPr>
        <w:t>成交供应商</w:t>
      </w:r>
      <w:r>
        <w:rPr>
          <w:rFonts w:hint="eastAsia" w:ascii="宋体" w:hAnsi="宋体" w:eastAsia="宋体" w:cs="宋体"/>
          <w:bCs/>
          <w:strike w:val="0"/>
          <w:dstrike w:val="0"/>
          <w:color w:val="000000"/>
          <w:kern w:val="28"/>
          <w:sz w:val="21"/>
          <w:szCs w:val="21"/>
          <w:lang w:val="en-US" w:eastAsia="zh-CN"/>
        </w:rPr>
        <w:t>配合使用采购人IT运维管理软件进行日常报障工单录入、处理、</w:t>
      </w:r>
      <w:r>
        <w:rPr>
          <w:rFonts w:hint="eastAsia" w:ascii="宋体" w:hAnsi="宋体" w:eastAsia="宋体" w:cs="宋体"/>
          <w:bCs/>
          <w:strike w:val="0"/>
          <w:dstrike w:val="0"/>
          <w:color w:val="000000"/>
          <w:kern w:val="28"/>
          <w:sz w:val="21"/>
          <w:szCs w:val="21"/>
        </w:rPr>
        <w:t>服务评价</w:t>
      </w:r>
      <w:r>
        <w:rPr>
          <w:rFonts w:hint="eastAsia" w:ascii="宋体" w:hAnsi="宋体" w:eastAsia="宋体" w:cs="宋体"/>
          <w:bCs/>
          <w:strike w:val="0"/>
          <w:dstrike w:val="0"/>
          <w:color w:val="000000"/>
          <w:kern w:val="28"/>
          <w:sz w:val="21"/>
          <w:szCs w:val="21"/>
          <w:lang w:eastAsia="zh-CN"/>
        </w:rPr>
        <w:t>、</w:t>
      </w:r>
      <w:r>
        <w:rPr>
          <w:rFonts w:hint="eastAsia" w:ascii="宋体" w:hAnsi="宋体" w:eastAsia="宋体" w:cs="宋体"/>
          <w:bCs/>
          <w:strike w:val="0"/>
          <w:dstrike w:val="0"/>
          <w:color w:val="000000"/>
          <w:kern w:val="28"/>
          <w:sz w:val="21"/>
          <w:szCs w:val="21"/>
          <w:lang w:val="en-US" w:eastAsia="zh-CN"/>
        </w:rPr>
        <w:t>资产录入、台账管理等业务。</w:t>
      </w:r>
    </w:p>
    <w:p w14:paraId="128B5DD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color w:val="000000"/>
          <w:kern w:val="28"/>
          <w:sz w:val="21"/>
          <w:szCs w:val="21"/>
        </w:rPr>
      </w:pPr>
      <w:r>
        <w:rPr>
          <w:rFonts w:hint="eastAsia" w:ascii="宋体" w:hAnsi="宋体" w:eastAsia="宋体" w:cs="宋体"/>
          <w:b/>
          <w:color w:val="000000"/>
          <w:kern w:val="28"/>
          <w:sz w:val="21"/>
          <w:szCs w:val="21"/>
        </w:rPr>
        <w:t>▲5.网络安全服务：</w:t>
      </w:r>
    </w:p>
    <w:p w14:paraId="1D88B52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（1）日常运维：负责网络安全设备运维与检测，运维问题处理，对网络安全设备进行整体日志收集、分析、汇总，检查存在的安全隐患，并对已经暴露的问题进行策略整改；</w:t>
      </w:r>
    </w:p>
    <w:p w14:paraId="701052F8">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（2）漏洞扫描服务，针对网络、系统、应用进行漏洞扫描，并提供漏洞检测报告；</w:t>
      </w:r>
    </w:p>
    <w:p w14:paraId="36F82417">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（3）基线核查服务，针对整体网络安全，参考等级保护标准，进行基线核查操作，并提供基线核查报告；</w:t>
      </w:r>
    </w:p>
    <w:p w14:paraId="18B0002B">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（4）持续性将服务器、网络设备、交换机对接至日志审计并确保日志采集成功保存6个月；</w:t>
      </w:r>
    </w:p>
    <w:p w14:paraId="29505297">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（5）定期查看日志出现高风险时及时反馈并给到加固报告。在网络安全中实施区域边界安全审计，可通过在网络边界和重要网络节点进行安全审计实现；</w:t>
      </w:r>
    </w:p>
    <w:p w14:paraId="56CDAA60">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（6）协助网络安全设备调试运维、发现问题及时处理，核心数据库对接至数据库审计；协助完善准入设备部署及调试；</w:t>
      </w:r>
    </w:p>
    <w:p w14:paraId="0C17AADB">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（7）发现病毒事件时给到整改建议，并协助加固整改同时必要时给出整改报告，协助一同建设堡垒机；</w:t>
      </w:r>
    </w:p>
    <w:p w14:paraId="511DA49C">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val="en-US" w:eastAsia="zh-CN"/>
        </w:rPr>
        <w:t>8</w:t>
      </w:r>
      <w:r>
        <w:rPr>
          <w:rFonts w:hint="eastAsia" w:ascii="宋体" w:hAnsi="宋体" w:eastAsia="宋体" w:cs="宋体"/>
          <w:bCs/>
          <w:color w:val="000000"/>
          <w:kern w:val="28"/>
          <w:sz w:val="21"/>
          <w:szCs w:val="21"/>
        </w:rPr>
        <w:t>）定期对安全态势感知平台巡检，每日负责巡检扫描弱口令、漏洞等，异常情况每日记录报告，每周提供总结报告；</w:t>
      </w:r>
    </w:p>
    <w:p w14:paraId="22C2D01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val="en-US" w:eastAsia="zh-CN"/>
        </w:rPr>
        <w:t>9</w:t>
      </w:r>
      <w:r>
        <w:rPr>
          <w:rFonts w:hint="eastAsia" w:ascii="宋体" w:hAnsi="宋体" w:eastAsia="宋体" w:cs="宋体"/>
          <w:bCs/>
          <w:color w:val="000000"/>
          <w:kern w:val="28"/>
          <w:sz w:val="21"/>
          <w:szCs w:val="21"/>
        </w:rPr>
        <w:t>）定期对网络安全设备进行升级加固，对病毒特征库进行检查确保病毒库处于最新状态。</w:t>
      </w:r>
    </w:p>
    <w:p w14:paraId="0AA0BAE2">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color w:val="000000"/>
          <w:kern w:val="28"/>
          <w:sz w:val="21"/>
          <w:szCs w:val="21"/>
        </w:rPr>
      </w:pPr>
      <w:r>
        <w:rPr>
          <w:rFonts w:hint="eastAsia" w:ascii="宋体" w:hAnsi="宋体" w:eastAsia="宋体" w:cs="宋体"/>
          <w:b/>
          <w:color w:val="000000"/>
          <w:kern w:val="28"/>
          <w:sz w:val="21"/>
          <w:szCs w:val="21"/>
        </w:rPr>
        <w:t>▲6.安全应急响应服务：</w:t>
      </w:r>
    </w:p>
    <w:p w14:paraId="1522761A">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（1）重保安全驻守服务，针对重要时期提供7*24小时的现场值守服务；</w:t>
      </w:r>
    </w:p>
    <w:p w14:paraId="2349EBF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（2）应急故障现场增援服务，针对应急故障可以提供足够的专业人员紧急增援服务，确保应急故障得到及时处理。</w:t>
      </w:r>
    </w:p>
    <w:p w14:paraId="066C80DE">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color w:val="000000"/>
          <w:kern w:val="28"/>
          <w:sz w:val="21"/>
          <w:szCs w:val="21"/>
        </w:rPr>
      </w:pPr>
      <w:r>
        <w:rPr>
          <w:rFonts w:hint="eastAsia" w:ascii="宋体" w:hAnsi="宋体" w:eastAsia="宋体" w:cs="宋体"/>
          <w:b/>
          <w:color w:val="000000"/>
          <w:kern w:val="28"/>
          <w:sz w:val="21"/>
          <w:szCs w:val="21"/>
          <w:lang w:val="en-US" w:eastAsia="zh-CN"/>
        </w:rPr>
        <w:t>7</w:t>
      </w:r>
      <w:r>
        <w:rPr>
          <w:rFonts w:hint="eastAsia" w:ascii="宋体" w:hAnsi="宋体" w:eastAsia="宋体" w:cs="宋体"/>
          <w:b/>
          <w:color w:val="000000"/>
          <w:kern w:val="28"/>
          <w:sz w:val="21"/>
          <w:szCs w:val="21"/>
        </w:rPr>
        <w:t>.IT资产管理</w:t>
      </w:r>
    </w:p>
    <w:p w14:paraId="0A747EFC">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strike/>
          <w:dstrike w:val="0"/>
          <w:color w:val="000000"/>
          <w:kern w:val="28"/>
          <w:sz w:val="21"/>
          <w:szCs w:val="21"/>
          <w:lang w:val="en-US"/>
        </w:rPr>
      </w:pPr>
      <w:r>
        <w:rPr>
          <w:rFonts w:hint="eastAsia" w:ascii="宋体" w:hAnsi="宋体" w:eastAsia="宋体" w:cs="宋体"/>
          <w:color w:val="000000"/>
          <w:kern w:val="28"/>
          <w:sz w:val="21"/>
          <w:szCs w:val="21"/>
        </w:rPr>
        <w:t>▲</w:t>
      </w:r>
      <w:r>
        <w:rPr>
          <w:rFonts w:hint="eastAsia" w:ascii="宋体" w:hAnsi="宋体" w:cs="宋体"/>
          <w:b w:val="0"/>
          <w:color w:val="000000"/>
          <w:kern w:val="28"/>
          <w:sz w:val="21"/>
          <w:szCs w:val="21"/>
          <w:lang w:eastAsia="zh-CN"/>
        </w:rPr>
        <w:t>（</w:t>
      </w:r>
      <w:r>
        <w:rPr>
          <w:rFonts w:hint="eastAsia" w:ascii="宋体" w:hAnsi="宋体" w:cs="宋体"/>
          <w:b w:val="0"/>
          <w:color w:val="000000"/>
          <w:kern w:val="28"/>
          <w:sz w:val="21"/>
          <w:szCs w:val="21"/>
          <w:lang w:val="en-US" w:eastAsia="zh-CN"/>
        </w:rPr>
        <w:t>1</w:t>
      </w:r>
      <w:r>
        <w:rPr>
          <w:rFonts w:hint="eastAsia" w:ascii="宋体" w:hAnsi="宋体" w:cs="宋体"/>
          <w:b w:val="0"/>
          <w:color w:val="000000"/>
          <w:kern w:val="28"/>
          <w:sz w:val="21"/>
          <w:szCs w:val="21"/>
          <w:lang w:eastAsia="zh-CN"/>
        </w:rPr>
        <w:t>）</w:t>
      </w:r>
      <w:r>
        <w:rPr>
          <w:rFonts w:hint="eastAsia" w:ascii="宋体" w:hAnsi="宋体" w:eastAsia="宋体" w:cs="宋体"/>
          <w:b w:val="0"/>
          <w:color w:val="000000"/>
          <w:kern w:val="28"/>
          <w:sz w:val="21"/>
          <w:szCs w:val="21"/>
        </w:rPr>
        <w:t>服务</w:t>
      </w:r>
      <w:r>
        <w:rPr>
          <w:rFonts w:hint="eastAsia" w:ascii="宋体" w:hAnsi="宋体" w:eastAsia="宋体" w:cs="宋体"/>
          <w:b w:val="0"/>
          <w:color w:val="000000"/>
          <w:kern w:val="28"/>
          <w:sz w:val="21"/>
          <w:szCs w:val="21"/>
          <w:lang w:val="en-US"/>
        </w:rPr>
        <w:t>期</w:t>
      </w:r>
      <w:r>
        <w:rPr>
          <w:rFonts w:hint="eastAsia" w:ascii="宋体" w:hAnsi="宋体" w:eastAsia="宋体" w:cs="宋体"/>
          <w:b w:val="0"/>
          <w:color w:val="000000"/>
          <w:kern w:val="28"/>
          <w:sz w:val="21"/>
          <w:szCs w:val="21"/>
        </w:rPr>
        <w:t>内</w:t>
      </w:r>
      <w:r>
        <w:rPr>
          <w:rFonts w:hint="eastAsia" w:ascii="宋体" w:hAnsi="宋体" w:eastAsia="宋体" w:cs="宋体"/>
          <w:b w:val="0"/>
          <w:color w:val="000000"/>
          <w:kern w:val="28"/>
          <w:sz w:val="21"/>
          <w:szCs w:val="21"/>
          <w:lang w:val="en-US"/>
        </w:rPr>
        <w:t>按</w:t>
      </w:r>
      <w:r>
        <w:rPr>
          <w:rFonts w:hint="eastAsia" w:ascii="宋体" w:hAnsi="宋体" w:eastAsia="宋体" w:cs="宋体"/>
          <w:b w:val="0"/>
          <w:color w:val="000000"/>
          <w:kern w:val="28"/>
          <w:sz w:val="21"/>
          <w:szCs w:val="21"/>
          <w:lang w:val="en-US" w:eastAsia="zh-CN"/>
        </w:rPr>
        <w:t>采购人</w:t>
      </w:r>
      <w:r>
        <w:rPr>
          <w:rFonts w:hint="eastAsia" w:ascii="宋体" w:hAnsi="宋体" w:eastAsia="宋体" w:cs="宋体"/>
          <w:b w:val="0"/>
          <w:color w:val="000000"/>
          <w:kern w:val="28"/>
          <w:sz w:val="21"/>
          <w:szCs w:val="21"/>
          <w:lang w:val="en-US"/>
        </w:rPr>
        <w:t>要求</w:t>
      </w:r>
      <w:r>
        <w:rPr>
          <w:rFonts w:hint="eastAsia" w:ascii="宋体" w:hAnsi="宋体" w:eastAsia="宋体" w:cs="宋体"/>
          <w:b w:val="0"/>
          <w:color w:val="000000"/>
          <w:kern w:val="28"/>
          <w:sz w:val="21"/>
          <w:szCs w:val="21"/>
        </w:rPr>
        <w:t>完成</w:t>
      </w:r>
      <w:r>
        <w:rPr>
          <w:rFonts w:hint="eastAsia" w:ascii="宋体" w:hAnsi="宋体" w:eastAsia="宋体" w:cs="宋体"/>
          <w:b w:val="0"/>
          <w:color w:val="000000"/>
          <w:kern w:val="28"/>
          <w:sz w:val="21"/>
          <w:szCs w:val="21"/>
          <w:lang w:val="en-US"/>
        </w:rPr>
        <w:t>对全院维保范围内所有计算机、打印机等终端设备的登记、编号和统计，内容包括品牌、规格型号、配置、参数、使用科室、所在位置、使用人、用途等，并有</w:t>
      </w:r>
      <w:r>
        <w:rPr>
          <w:rFonts w:hint="eastAsia" w:ascii="宋体" w:hAnsi="宋体" w:eastAsia="宋体" w:cs="宋体"/>
          <w:b w:val="0"/>
          <w:color w:val="000000"/>
          <w:kern w:val="28"/>
          <w:sz w:val="21"/>
          <w:szCs w:val="21"/>
        </w:rPr>
        <w:t>标签或其他方式对其进行有效标识</w:t>
      </w:r>
      <w:r>
        <w:rPr>
          <w:rFonts w:hint="eastAsia" w:ascii="宋体" w:hAnsi="宋体" w:eastAsia="宋体" w:cs="宋体"/>
          <w:b w:val="0"/>
          <w:color w:val="000000"/>
          <w:kern w:val="28"/>
          <w:sz w:val="21"/>
          <w:szCs w:val="21"/>
          <w:lang w:val="en-US"/>
        </w:rPr>
        <w:t>，及时将信息报送信息科，建设可实现动态维护的硬件设备档案库。</w:t>
      </w:r>
      <w:r>
        <w:rPr>
          <w:rFonts w:hint="eastAsia" w:ascii="宋体" w:hAnsi="宋体" w:eastAsia="宋体" w:cs="宋体"/>
          <w:b w:val="0"/>
          <w:strike w:val="0"/>
          <w:dstrike w:val="0"/>
          <w:color w:val="000000"/>
          <w:kern w:val="28"/>
          <w:sz w:val="21"/>
          <w:szCs w:val="21"/>
          <w:lang w:val="en-US"/>
        </w:rPr>
        <w:t>每年至少一次的IT资产实物盘点工作。</w:t>
      </w:r>
    </w:p>
    <w:p w14:paraId="60F1AA30">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color w:val="000000"/>
          <w:kern w:val="28"/>
          <w:sz w:val="21"/>
          <w:szCs w:val="21"/>
        </w:rPr>
        <w:t>▲</w:t>
      </w:r>
      <w:r>
        <w:rPr>
          <w:rFonts w:hint="eastAsia" w:ascii="宋体" w:hAnsi="宋体" w:cs="宋体"/>
          <w:b w:val="0"/>
          <w:color w:val="000000"/>
          <w:kern w:val="28"/>
          <w:sz w:val="21"/>
          <w:szCs w:val="21"/>
          <w:lang w:eastAsia="zh-CN"/>
        </w:rPr>
        <w:t>（</w:t>
      </w:r>
      <w:r>
        <w:rPr>
          <w:rFonts w:hint="eastAsia" w:ascii="宋体" w:hAnsi="宋体" w:cs="宋体"/>
          <w:b w:val="0"/>
          <w:color w:val="000000"/>
          <w:kern w:val="28"/>
          <w:sz w:val="21"/>
          <w:szCs w:val="21"/>
          <w:lang w:val="en-US" w:eastAsia="zh-CN"/>
        </w:rPr>
        <w:t>2</w:t>
      </w:r>
      <w:r>
        <w:rPr>
          <w:rFonts w:hint="eastAsia" w:ascii="宋体" w:hAnsi="宋体" w:cs="宋体"/>
          <w:b w:val="0"/>
          <w:color w:val="000000"/>
          <w:kern w:val="28"/>
          <w:sz w:val="21"/>
          <w:szCs w:val="21"/>
          <w:lang w:eastAsia="zh-CN"/>
        </w:rPr>
        <w:t>）</w:t>
      </w:r>
      <w:r>
        <w:rPr>
          <w:rFonts w:hint="eastAsia" w:ascii="宋体" w:hAnsi="宋体" w:eastAsia="宋体" w:cs="宋体"/>
          <w:b w:val="0"/>
          <w:color w:val="000000"/>
          <w:kern w:val="28"/>
          <w:sz w:val="21"/>
          <w:szCs w:val="21"/>
          <w:lang w:val="en-US"/>
        </w:rPr>
        <w:t>建立丰富的软硬件知识库，常见的软硬件故障做到有章可循，有完整的项目服务流程，包括:故障响应流程、故障处理流程、重大维护处理流程、现场处理流程、客户投诉处理流程、设备报废审批流程、软件服务维护流程、知识库管理流程等等。</w:t>
      </w:r>
    </w:p>
    <w:p w14:paraId="47BE6C3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eastAsia="zh-CN"/>
        </w:rPr>
        <w:t>8</w:t>
      </w:r>
      <w:r>
        <w:rPr>
          <w:rFonts w:hint="eastAsia" w:ascii="宋体" w:hAnsi="宋体" w:eastAsia="宋体" w:cs="宋体"/>
          <w:color w:val="000000"/>
          <w:kern w:val="28"/>
          <w:sz w:val="21"/>
          <w:szCs w:val="21"/>
          <w:lang w:val="en-US"/>
        </w:rPr>
        <w:t>.</w:t>
      </w:r>
      <w:r>
        <w:rPr>
          <w:rFonts w:hint="eastAsia" w:ascii="宋体" w:hAnsi="宋体" w:eastAsia="宋体" w:cs="宋体"/>
          <w:color w:val="000000"/>
          <w:kern w:val="28"/>
          <w:sz w:val="21"/>
          <w:szCs w:val="21"/>
        </w:rPr>
        <w:t>▲</w:t>
      </w:r>
      <w:r>
        <w:rPr>
          <w:rFonts w:hint="eastAsia" w:ascii="宋体" w:hAnsi="宋体" w:eastAsia="宋体" w:cs="宋体"/>
          <w:color w:val="000000"/>
          <w:kern w:val="28"/>
          <w:sz w:val="21"/>
          <w:szCs w:val="21"/>
          <w:lang w:val="en-US"/>
        </w:rPr>
        <w:t>机房巡检服务</w:t>
      </w:r>
    </w:p>
    <w:p w14:paraId="00B10674">
      <w:pPr>
        <w:pStyle w:val="13"/>
        <w:keepNext w:val="0"/>
        <w:keepLines w:val="0"/>
        <w:pageBreakBefore w:val="0"/>
        <w:numPr>
          <w:ilvl w:val="0"/>
          <w:numId w:val="7"/>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巡检对象</w:t>
      </w:r>
    </w:p>
    <w:p w14:paraId="3C20831B">
      <w:pPr>
        <w:pStyle w:val="13"/>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电源、UPS、电池组：检查机房供电和UPS工作状况、指示状态。</w:t>
      </w:r>
    </w:p>
    <w:p w14:paraId="703E361B">
      <w:pPr>
        <w:pStyle w:val="13"/>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服务器：检查服务器是否宕机、服务器（磁盘阵列）硬盘指示灯、CPU指示灯、电源指示灯等是否显示正常。</w:t>
      </w:r>
    </w:p>
    <w:p w14:paraId="3CD48C8A">
      <w:pPr>
        <w:pStyle w:val="13"/>
        <w:keepNext w:val="0"/>
        <w:keepLines w:val="0"/>
        <w:pageBreakBefore w:val="0"/>
        <w:numPr>
          <w:ilvl w:val="0"/>
          <w:numId w:val="8"/>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机房环境：检查机房空调工作状态、机房温湿度、消防监控设备等。</w:t>
      </w:r>
    </w:p>
    <w:p w14:paraId="10D44CF1">
      <w:pPr>
        <w:pStyle w:val="13"/>
        <w:keepNext w:val="0"/>
        <w:keepLines w:val="0"/>
        <w:pageBreakBefore w:val="0"/>
        <w:numPr>
          <w:ilvl w:val="0"/>
          <w:numId w:val="7"/>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巡查模式</w:t>
      </w:r>
    </w:p>
    <w:p w14:paraId="4F7CC895">
      <w:pPr>
        <w:pStyle w:val="13"/>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认真巡查各机房硬件运行状况（包括机房温度、湿度、异响、异味、设备报警等）并填写《中山市人民医院机房巡检记录表》。</w:t>
      </w:r>
    </w:p>
    <w:p w14:paraId="0378C359">
      <w:pPr>
        <w:pStyle w:val="13"/>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巡检记录表必须在巡检期间完成，不得事后补填，登记表必须每月归档并妥善保存。</w:t>
      </w:r>
    </w:p>
    <w:p w14:paraId="4B206506">
      <w:pPr>
        <w:pStyle w:val="13"/>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rightChars="0" w:firstLine="40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发现异常情况应立即按照正确规程进行操作，发现重大问题应及时上报院方信息科人员。</w:t>
      </w:r>
    </w:p>
    <w:p w14:paraId="1353919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eastAsia="zh-CN"/>
        </w:rPr>
        <w:t>9</w:t>
      </w:r>
      <w:r>
        <w:rPr>
          <w:rFonts w:hint="eastAsia" w:ascii="宋体" w:hAnsi="宋体" w:eastAsia="宋体" w:cs="宋体"/>
          <w:color w:val="000000"/>
          <w:kern w:val="28"/>
          <w:sz w:val="21"/>
          <w:szCs w:val="21"/>
          <w:lang w:val="en-US"/>
        </w:rPr>
        <w:t>.设备硬件及环境保养服务</w:t>
      </w:r>
    </w:p>
    <w:p w14:paraId="1BA4BE9F">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保证至少每季度一次的定期巡检服务，检查个人电脑及办公设备的运行状态，进行必要的物理清洁以及给配电等环境保养维护。在每次巡检之后提供巡检维护报告。巡检内容应包括：</w:t>
      </w:r>
    </w:p>
    <w:p w14:paraId="28994C37">
      <w:pPr>
        <w:pStyle w:val="13"/>
        <w:keepNext w:val="0"/>
        <w:keepLines w:val="0"/>
        <w:pageBreakBefore w:val="0"/>
        <w:numPr>
          <w:ilvl w:val="0"/>
          <w:numId w:val="1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对维保设备木马及流氓软件的检查，发现木马后清除。</w:t>
      </w:r>
    </w:p>
    <w:p w14:paraId="52DCB6A2">
      <w:pPr>
        <w:pStyle w:val="13"/>
        <w:keepNext w:val="0"/>
        <w:keepLines w:val="0"/>
        <w:pageBreakBefore w:val="0"/>
        <w:numPr>
          <w:ilvl w:val="0"/>
          <w:numId w:val="1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检查设备网络状态，并做好记录。</w:t>
      </w:r>
    </w:p>
    <w:p w14:paraId="7C174E25">
      <w:pPr>
        <w:pStyle w:val="13"/>
        <w:keepNext w:val="0"/>
        <w:keepLines w:val="0"/>
        <w:pageBreakBefore w:val="0"/>
        <w:numPr>
          <w:ilvl w:val="0"/>
          <w:numId w:val="1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设备名字及域是否正确对应。</w:t>
      </w:r>
    </w:p>
    <w:p w14:paraId="1201CB8B">
      <w:pPr>
        <w:pStyle w:val="13"/>
        <w:keepNext w:val="0"/>
        <w:keepLines w:val="0"/>
        <w:pageBreakBefore w:val="0"/>
        <w:numPr>
          <w:ilvl w:val="0"/>
          <w:numId w:val="1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显示器、主机、键盘鼠标外部清洁。</w:t>
      </w:r>
    </w:p>
    <w:p w14:paraId="70366B80">
      <w:pPr>
        <w:pStyle w:val="13"/>
        <w:keepNext w:val="0"/>
        <w:keepLines w:val="0"/>
        <w:pageBreakBefore w:val="0"/>
        <w:numPr>
          <w:ilvl w:val="0"/>
          <w:numId w:val="1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设备运行状况检测、故障隐患排除。</w:t>
      </w:r>
    </w:p>
    <w:p w14:paraId="47176EF6">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0</w:t>
      </w:r>
      <w:r>
        <w:rPr>
          <w:rFonts w:hint="eastAsia" w:ascii="宋体" w:hAnsi="宋体" w:eastAsia="宋体" w:cs="宋体"/>
          <w:color w:val="000000"/>
          <w:kern w:val="28"/>
          <w:sz w:val="21"/>
          <w:szCs w:val="21"/>
          <w:lang w:val="en-US"/>
        </w:rPr>
        <w:t>.网络管井管理和巡检</w:t>
      </w:r>
    </w:p>
    <w:p w14:paraId="7C9ABB0B">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管理：网络管井钥匙借用需要登记记录，每月汇总提交给信息科。每次进入网络管井需扫描管井二维码登记并记录操作信息。</w:t>
      </w:r>
    </w:p>
    <w:p w14:paraId="276F5C79">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巡检：保证至少每月一次的定期巡检服务，检查管井网络设备的运行状态，进行必要的物理清洁以及网络线路整理。在每次巡检之后提供巡检维护报告。</w:t>
      </w:r>
    </w:p>
    <w:p w14:paraId="02D422B4">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巡检内容应包括：</w:t>
      </w:r>
    </w:p>
    <w:p w14:paraId="39580DEA">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（1）网络管井设备是否存在异常告警。</w:t>
      </w:r>
    </w:p>
    <w:p w14:paraId="797E234E">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（2）网络管井&amp;设备温度是否异常。</w:t>
      </w:r>
    </w:p>
    <w:p w14:paraId="1A516702">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（3）网络管井是否存在线路杂乱或乱接线问题</w:t>
      </w:r>
    </w:p>
    <w:p w14:paraId="009DF26A">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（4）网络卫生情况。</w:t>
      </w:r>
    </w:p>
    <w:p w14:paraId="227E7190">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1</w:t>
      </w:r>
      <w:r>
        <w:rPr>
          <w:rFonts w:hint="eastAsia" w:ascii="宋体" w:hAnsi="宋体" w:eastAsia="宋体" w:cs="宋体"/>
          <w:color w:val="000000"/>
          <w:kern w:val="28"/>
          <w:sz w:val="21"/>
          <w:szCs w:val="21"/>
          <w:lang w:val="en-US"/>
        </w:rPr>
        <w:t>.会场保障服务</w:t>
      </w:r>
    </w:p>
    <w:p w14:paraId="77E8059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为保障医院各大会议的顺利进行，重要会议需安排工程师作现场驻场支持，包括会前的布置调试工作，会议过程应急保障工作以及会后关闭会议系统。</w:t>
      </w:r>
    </w:p>
    <w:p w14:paraId="65EDEB4D">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会场保障内容包括：</w:t>
      </w:r>
    </w:p>
    <w:p w14:paraId="1227C502">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（1）启动会议系统，工程师至少在会议开始前30分钟启动会议需要使用的相关设备。</w:t>
      </w:r>
    </w:p>
    <w:p w14:paraId="6067B210">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2）调试会议系统，工程师启动会议系统后，根据会议要求，测试会议系统的相应功能，确保会议系统正常为会议提供服务。（如：启动会议系统后，工程师可以测试拼接屏是否可以正常显示电脑上的图片，无线麦克风和桌面话筒是否可以将声音送到音箱等）。</w:t>
      </w:r>
    </w:p>
    <w:p w14:paraId="51E605C4">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（3）网络接入，在会议举行前，先确定所使用的网络（内网、外网），提前接入网络并测试连通性，确保会议的顺利举行。</w:t>
      </w:r>
    </w:p>
    <w:p w14:paraId="14C87F64">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（4）会议过程中应急处理，根据故障现象判断故障类型及时进行处理。</w:t>
      </w:r>
    </w:p>
    <w:p w14:paraId="201AE41E">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（5）关闭会议系统，会议结束后，工程师负责关闭会议系统，并断开设备电源。</w:t>
      </w:r>
    </w:p>
    <w:p w14:paraId="483A9E74">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 w:val="0"/>
          <w:bCs/>
          <w:color w:val="000000"/>
          <w:kern w:val="28"/>
          <w:sz w:val="21"/>
          <w:szCs w:val="21"/>
          <w:lang w:val="en-US" w:eastAsia="zh-CN" w:bidi="ar-SA"/>
        </w:rPr>
      </w:pPr>
      <w:r>
        <w:rPr>
          <w:rFonts w:hint="eastAsia" w:ascii="宋体" w:hAnsi="宋体" w:eastAsia="宋体" w:cs="宋体"/>
          <w:b w:val="0"/>
          <w:bCs/>
          <w:color w:val="000000"/>
          <w:kern w:val="28"/>
          <w:sz w:val="21"/>
          <w:szCs w:val="21"/>
          <w:lang w:val="en-US" w:eastAsia="zh-CN" w:bidi="ar-SA"/>
        </w:rPr>
        <w:t>（6）提供远程会议支持服务（如利用腾讯会议等），可发起100人不限时会议。</w:t>
      </w:r>
    </w:p>
    <w:p w14:paraId="4A6AA859">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2</w:t>
      </w:r>
      <w:r>
        <w:rPr>
          <w:rFonts w:hint="eastAsia" w:ascii="宋体" w:hAnsi="宋体" w:eastAsia="宋体" w:cs="宋体"/>
          <w:color w:val="000000"/>
          <w:kern w:val="28"/>
          <w:sz w:val="21"/>
          <w:szCs w:val="21"/>
          <w:lang w:val="en-US"/>
        </w:rPr>
        <w:t>.设备系统性能日常维护服务</w:t>
      </w:r>
    </w:p>
    <w:p w14:paraId="4A4AEFB0">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strike w:val="0"/>
          <w:color w:val="000000"/>
          <w:kern w:val="28"/>
          <w:sz w:val="21"/>
          <w:szCs w:val="21"/>
          <w:lang w:val="en-US"/>
        </w:rPr>
      </w:pPr>
      <w:r>
        <w:rPr>
          <w:rFonts w:hint="eastAsia" w:ascii="宋体" w:hAnsi="宋体" w:eastAsia="宋体" w:cs="宋体"/>
          <w:b w:val="0"/>
          <w:color w:val="000000"/>
          <w:kern w:val="28"/>
          <w:sz w:val="21"/>
          <w:szCs w:val="21"/>
          <w:lang w:val="en-US"/>
        </w:rPr>
        <w:t>提供定期系统性能日常维护服务，对电脑设备进行补丁版本检查，协助更新系统补丁。进行日志记录，检查日志，针对过往日志中错误项进行修复。</w:t>
      </w:r>
      <w:r>
        <w:rPr>
          <w:rFonts w:hint="eastAsia" w:ascii="宋体" w:hAnsi="宋体" w:eastAsia="宋体" w:cs="宋体"/>
          <w:b w:val="0"/>
          <w:strike w:val="0"/>
          <w:dstrike w:val="0"/>
          <w:color w:val="000000"/>
          <w:kern w:val="28"/>
          <w:sz w:val="21"/>
          <w:szCs w:val="21"/>
          <w:lang w:val="en-US"/>
        </w:rPr>
        <w:t>在每次检查后提交系统维护报告。</w:t>
      </w:r>
    </w:p>
    <w:p w14:paraId="3CA2E3F1">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3</w:t>
      </w:r>
      <w:r>
        <w:rPr>
          <w:rFonts w:hint="eastAsia" w:ascii="宋体" w:hAnsi="宋体" w:eastAsia="宋体" w:cs="宋体"/>
          <w:color w:val="000000"/>
          <w:kern w:val="28"/>
          <w:sz w:val="21"/>
          <w:szCs w:val="21"/>
          <w:lang w:val="en-US"/>
        </w:rPr>
        <w:t>.系统终端重部署及调试服务</w:t>
      </w:r>
    </w:p>
    <w:p w14:paraId="33AB230E">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新布线的信息点与电脑连接，或因工作需要迁移、重新调配电脑设备，应在1个工作日内协助完成电脑设备及相关业务软件终端的重部署及调试安装。</w:t>
      </w:r>
    </w:p>
    <w:p w14:paraId="79B4DF95">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4</w:t>
      </w:r>
      <w:r>
        <w:rPr>
          <w:rFonts w:hint="eastAsia" w:ascii="宋体" w:hAnsi="宋体" w:eastAsia="宋体" w:cs="宋体"/>
          <w:color w:val="000000"/>
          <w:kern w:val="28"/>
          <w:sz w:val="21"/>
          <w:szCs w:val="21"/>
          <w:lang w:val="en-US"/>
        </w:rPr>
        <w:t>.设备系统故障检测及排除服务</w:t>
      </w:r>
    </w:p>
    <w:p w14:paraId="1E2F37A6">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▲提供驻场服务。对于服务请求，达到100%的用户响应度， 15分钟内响应，2小时内解决，节假日安排至少一名驻场技术工程师现场值班。</w:t>
      </w:r>
    </w:p>
    <w:p w14:paraId="25E4C6BA">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outlineLvl w:val="0"/>
        <w:rPr>
          <w:rFonts w:hint="eastAsia" w:ascii="宋体" w:hAnsi="宋体" w:eastAsia="宋体" w:cs="宋体"/>
          <w:color w:val="000000"/>
          <w:kern w:val="28"/>
          <w:sz w:val="21"/>
          <w:szCs w:val="21"/>
          <w:lang w:val="en-US"/>
        </w:rPr>
      </w:pPr>
      <w:r>
        <w:rPr>
          <w:rFonts w:hint="eastAsia" w:ascii="宋体" w:hAnsi="宋体" w:eastAsia="宋体" w:cs="宋体"/>
          <w:color w:val="000000"/>
          <w:kern w:val="28"/>
          <w:sz w:val="21"/>
          <w:szCs w:val="21"/>
          <w:lang w:val="en-US"/>
        </w:rPr>
        <w:t>1</w:t>
      </w:r>
      <w:r>
        <w:rPr>
          <w:rFonts w:hint="eastAsia" w:ascii="宋体" w:hAnsi="宋体" w:eastAsia="宋体" w:cs="宋体"/>
          <w:color w:val="000000"/>
          <w:kern w:val="28"/>
          <w:sz w:val="21"/>
          <w:szCs w:val="21"/>
          <w:lang w:val="en-US" w:eastAsia="zh-CN"/>
        </w:rPr>
        <w:t>5</w:t>
      </w:r>
      <w:r>
        <w:rPr>
          <w:rFonts w:hint="eastAsia" w:ascii="宋体" w:hAnsi="宋体" w:eastAsia="宋体" w:cs="宋体"/>
          <w:color w:val="000000"/>
          <w:kern w:val="28"/>
          <w:sz w:val="21"/>
          <w:szCs w:val="21"/>
          <w:lang w:val="en-US"/>
        </w:rPr>
        <w:t>.设备维修及更换</w:t>
      </w:r>
    </w:p>
    <w:p w14:paraId="13F3310F">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eastAsia="zh-CN"/>
        </w:rPr>
      </w:pPr>
      <w:r>
        <w:rPr>
          <w:rFonts w:hint="eastAsia" w:ascii="宋体" w:hAnsi="宋体" w:eastAsia="宋体" w:cs="宋体"/>
          <w:b w:val="0"/>
          <w:color w:val="000000"/>
          <w:kern w:val="28"/>
          <w:sz w:val="21"/>
          <w:szCs w:val="21"/>
          <w:lang w:val="en-US" w:eastAsia="zh-CN"/>
        </w:rPr>
        <w:t>（1）</w:t>
      </w:r>
      <w:r>
        <w:rPr>
          <w:rFonts w:hint="eastAsia" w:ascii="宋体" w:hAnsi="宋体" w:eastAsia="宋体" w:cs="宋体"/>
          <w:b w:val="0"/>
          <w:color w:val="000000"/>
          <w:kern w:val="28"/>
          <w:sz w:val="21"/>
          <w:szCs w:val="21"/>
          <w:lang w:val="en-US"/>
        </w:rPr>
        <w:t>在响应时间内完成故障设备的维修，驻场技术工程师应严格遵守维修规程。损坏的设备仍在厂家保修期及保修范围内，由驻场技术工程师联络厂家维修（联络方法由信息科提供），若购买该设备的时候，原厂家承诺上门维修的，由原厂家上门维修；否则由本</w:t>
      </w:r>
      <w:r>
        <w:rPr>
          <w:rFonts w:hint="eastAsia" w:ascii="宋体" w:hAnsi="宋体" w:eastAsia="宋体" w:cs="宋体"/>
          <w:b w:val="0"/>
          <w:color w:val="000000"/>
          <w:kern w:val="28"/>
          <w:sz w:val="21"/>
          <w:szCs w:val="21"/>
          <w:lang w:val="en-US" w:eastAsia="zh-CN"/>
        </w:rPr>
        <w:t>项目的成交供应商</w:t>
      </w:r>
      <w:r>
        <w:rPr>
          <w:rFonts w:hint="eastAsia" w:ascii="宋体" w:hAnsi="宋体" w:eastAsia="宋体" w:cs="宋体"/>
          <w:b w:val="0"/>
          <w:color w:val="000000"/>
          <w:kern w:val="28"/>
          <w:sz w:val="21"/>
          <w:szCs w:val="21"/>
          <w:lang w:val="en-US"/>
        </w:rPr>
        <w:t>送修</w:t>
      </w:r>
      <w:r>
        <w:rPr>
          <w:rFonts w:hint="eastAsia" w:ascii="宋体" w:hAnsi="宋体" w:eastAsia="宋体" w:cs="宋体"/>
          <w:b w:val="0"/>
          <w:color w:val="000000"/>
          <w:kern w:val="28"/>
          <w:sz w:val="21"/>
          <w:szCs w:val="21"/>
          <w:lang w:val="en-US" w:eastAsia="zh-CN"/>
        </w:rPr>
        <w:t>，</w:t>
      </w:r>
      <w:r>
        <w:rPr>
          <w:rFonts w:hint="eastAsia" w:ascii="宋体" w:hAnsi="宋体" w:eastAsia="宋体" w:cs="宋体"/>
          <w:b w:val="0"/>
          <w:color w:val="000000"/>
          <w:kern w:val="28"/>
          <w:sz w:val="21"/>
          <w:szCs w:val="21"/>
          <w:lang w:val="en-US"/>
        </w:rPr>
        <w:t>保修期内合规故障送修产生的维修、配件费用由原厂承担</w:t>
      </w:r>
      <w:r>
        <w:rPr>
          <w:rFonts w:hint="eastAsia" w:ascii="宋体" w:hAnsi="宋体" w:eastAsia="宋体" w:cs="宋体"/>
          <w:b w:val="0"/>
          <w:color w:val="000000"/>
          <w:kern w:val="28"/>
          <w:sz w:val="21"/>
          <w:szCs w:val="21"/>
          <w:lang w:val="en-US" w:eastAsia="zh-CN"/>
        </w:rPr>
        <w:t>。</w:t>
      </w:r>
    </w:p>
    <w:p w14:paraId="51EE5485">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eastAsia="zh-CN"/>
        </w:rPr>
        <w:t>（2）</w:t>
      </w:r>
      <w:r>
        <w:rPr>
          <w:rFonts w:hint="eastAsia" w:ascii="宋体" w:hAnsi="宋体" w:eastAsia="宋体" w:cs="宋体"/>
          <w:b w:val="0"/>
          <w:color w:val="000000"/>
          <w:kern w:val="28"/>
          <w:sz w:val="21"/>
          <w:szCs w:val="21"/>
          <w:lang w:val="en-US"/>
        </w:rPr>
        <w:t>▲</w:t>
      </w:r>
      <w:r>
        <w:rPr>
          <w:rFonts w:hint="eastAsia" w:ascii="宋体" w:hAnsi="宋体" w:eastAsia="宋体" w:cs="宋体"/>
          <w:b w:val="0"/>
          <w:color w:val="000000"/>
          <w:kern w:val="28"/>
          <w:sz w:val="21"/>
          <w:szCs w:val="21"/>
          <w:lang w:val="en-US" w:eastAsia="zh-CN"/>
        </w:rPr>
        <w:t>另送外检修涉及硬盘数据修复、成交供应商需要向采购人提供保密协议</w:t>
      </w:r>
      <w:r>
        <w:rPr>
          <w:rFonts w:hint="eastAsia" w:ascii="宋体" w:hAnsi="宋体" w:eastAsia="宋体" w:cs="宋体"/>
          <w:b w:val="0"/>
          <w:color w:val="000000"/>
          <w:kern w:val="28"/>
          <w:sz w:val="21"/>
          <w:szCs w:val="21"/>
          <w:lang w:val="en-US"/>
        </w:rPr>
        <w:t>；</w:t>
      </w:r>
    </w:p>
    <w:p w14:paraId="5299D2BA">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eastAsia="zh-CN"/>
        </w:rPr>
        <w:t>（3）</w:t>
      </w:r>
      <w:r>
        <w:rPr>
          <w:rFonts w:hint="eastAsia" w:ascii="宋体" w:hAnsi="宋体" w:eastAsia="宋体" w:cs="宋体"/>
          <w:b w:val="0"/>
          <w:color w:val="000000"/>
          <w:kern w:val="28"/>
          <w:sz w:val="21"/>
          <w:szCs w:val="21"/>
          <w:lang w:val="en-US"/>
        </w:rPr>
        <w:t>如有纠纷，由信息科协调。</w:t>
      </w:r>
    </w:p>
    <w:p w14:paraId="296EFE07">
      <w:pPr>
        <w:keepNext w:val="0"/>
        <w:keepLines w:val="0"/>
        <w:pageBreakBefore w:val="0"/>
        <w:numPr>
          <w:ilvl w:val="0"/>
          <w:numId w:val="0"/>
        </w:numPr>
        <w:tabs>
          <w:tab w:val="left" w:pos="426"/>
        </w:tabs>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lang w:val="en-US" w:eastAsia="zh-CN"/>
        </w:rPr>
      </w:pPr>
    </w:p>
    <w:p w14:paraId="03BE2F42">
      <w:pPr>
        <w:keepNext w:val="0"/>
        <w:keepLines w:val="0"/>
        <w:pageBreakBefore w:val="0"/>
        <w:numPr>
          <w:ilvl w:val="0"/>
          <w:numId w:val="0"/>
        </w:numPr>
        <w:tabs>
          <w:tab w:val="left" w:pos="426"/>
        </w:tabs>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val="0"/>
          <w:color w:val="000000"/>
          <w:kern w:val="28"/>
          <w:sz w:val="21"/>
          <w:szCs w:val="21"/>
          <w:lang w:val="en-US" w:eastAsia="zh-CN"/>
        </w:rPr>
      </w:pPr>
      <w:r>
        <w:rPr>
          <w:rFonts w:hint="eastAsia" w:ascii="宋体" w:hAnsi="宋体" w:eastAsia="宋体" w:cs="宋体"/>
          <w:b/>
          <w:bCs/>
          <w:color w:val="000000"/>
          <w:kern w:val="28"/>
          <w:sz w:val="21"/>
          <w:szCs w:val="21"/>
          <w:lang w:val="en-US" w:eastAsia="zh-CN"/>
        </w:rPr>
        <w:t>（二）外修服务</w:t>
      </w:r>
    </w:p>
    <w:p w14:paraId="4BC931D2">
      <w:pPr>
        <w:pStyle w:val="13"/>
        <w:keepNext w:val="0"/>
        <w:keepLines w:val="0"/>
        <w:pageBreakBefore w:val="0"/>
        <w:numPr>
          <w:ilvl w:val="0"/>
          <w:numId w:val="11"/>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r>
        <w:rPr>
          <w:rFonts w:hint="eastAsia" w:ascii="宋体" w:hAnsi="宋体" w:cs="宋体"/>
          <w:b w:val="0"/>
          <w:bCs w:val="0"/>
          <w:color w:val="000000"/>
          <w:kern w:val="28"/>
          <w:sz w:val="21"/>
          <w:szCs w:val="21"/>
          <w:lang w:val="en-US" w:eastAsia="zh-CN"/>
        </w:rPr>
        <w:t>设备维修</w:t>
      </w:r>
      <w:r>
        <w:rPr>
          <w:rFonts w:hint="eastAsia" w:ascii="宋体" w:hAnsi="宋体" w:eastAsia="宋体" w:cs="宋体"/>
          <w:b w:val="0"/>
          <w:bCs w:val="0"/>
          <w:color w:val="000000"/>
          <w:kern w:val="28"/>
          <w:sz w:val="21"/>
          <w:szCs w:val="21"/>
          <w:lang w:val="en-US" w:eastAsia="zh-CN"/>
        </w:rPr>
        <w:t>、数据修复（按照实际工作量结算）。</w:t>
      </w:r>
    </w:p>
    <w:p w14:paraId="2D6FE141">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eastAsia="zh-CN"/>
        </w:rPr>
      </w:pPr>
      <w:r>
        <w:rPr>
          <w:rFonts w:hint="eastAsia" w:ascii="宋体" w:hAnsi="宋体" w:eastAsia="宋体" w:cs="宋体"/>
          <w:bCs/>
          <w:color w:val="000000"/>
          <w:kern w:val="28"/>
          <w:sz w:val="21"/>
          <w:szCs w:val="21"/>
        </w:rPr>
        <w:t>▲</w:t>
      </w:r>
      <w:r>
        <w:rPr>
          <w:rFonts w:hint="eastAsia" w:ascii="宋体" w:hAnsi="宋体" w:cs="宋体"/>
          <w:bCs/>
          <w:color w:val="000000"/>
          <w:kern w:val="28"/>
          <w:sz w:val="21"/>
          <w:szCs w:val="21"/>
          <w:lang w:val="en-US" w:eastAsia="zh-CN"/>
        </w:rPr>
        <w:t>2.</w:t>
      </w:r>
      <w:r>
        <w:rPr>
          <w:rFonts w:hint="eastAsia" w:ascii="宋体" w:hAnsi="宋体" w:eastAsia="宋体" w:cs="宋体"/>
          <w:bCs/>
          <w:color w:val="000000"/>
          <w:kern w:val="28"/>
          <w:sz w:val="21"/>
          <w:szCs w:val="21"/>
        </w:rPr>
        <w:t>判断硬件损坏，需送外维修时，</w:t>
      </w:r>
      <w:r>
        <w:rPr>
          <w:rFonts w:hint="eastAsia" w:ascii="宋体" w:hAnsi="宋体" w:eastAsia="宋体" w:cs="宋体"/>
          <w:bCs/>
          <w:color w:val="000000"/>
          <w:kern w:val="28"/>
          <w:sz w:val="21"/>
          <w:szCs w:val="21"/>
          <w:lang w:eastAsia="zh-CN"/>
        </w:rPr>
        <w:t>由</w:t>
      </w:r>
      <w:r>
        <w:rPr>
          <w:rFonts w:hint="eastAsia" w:ascii="宋体" w:hAnsi="宋体" w:eastAsia="宋体" w:cs="宋体"/>
          <w:bCs/>
          <w:color w:val="000000"/>
          <w:kern w:val="28"/>
          <w:sz w:val="21"/>
          <w:szCs w:val="21"/>
        </w:rPr>
        <w:t>信息科需进行核查。</w:t>
      </w:r>
    </w:p>
    <w:p w14:paraId="373A4572">
      <w:pPr>
        <w:pStyle w:val="13"/>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p>
    <w:p w14:paraId="12E32842">
      <w:pPr>
        <w:keepNext w:val="0"/>
        <w:keepLines w:val="0"/>
        <w:pageBreakBefore w:val="0"/>
        <w:numPr>
          <w:ilvl w:val="0"/>
          <w:numId w:val="0"/>
        </w:numPr>
        <w:tabs>
          <w:tab w:val="left" w:pos="426"/>
        </w:tabs>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lang w:val="en-US" w:eastAsia="zh-CN"/>
        </w:rPr>
      </w:pPr>
      <w:r>
        <w:rPr>
          <w:rFonts w:hint="eastAsia" w:ascii="宋体" w:hAnsi="宋体" w:eastAsia="宋体" w:cs="宋体"/>
          <w:b/>
          <w:bCs/>
          <w:color w:val="000000"/>
          <w:kern w:val="28"/>
          <w:sz w:val="21"/>
          <w:szCs w:val="21"/>
          <w:lang w:val="en-US" w:eastAsia="zh-CN"/>
        </w:rPr>
        <w:t>（三）综合布线设备技术参数</w:t>
      </w:r>
    </w:p>
    <w:p w14:paraId="1C03AFEF">
      <w:pPr>
        <w:pStyle w:val="13"/>
        <w:keepNext w:val="0"/>
        <w:keepLines w:val="0"/>
        <w:pageBreakBefore w:val="0"/>
        <w:numPr>
          <w:ilvl w:val="0"/>
          <w:numId w:val="12"/>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bCs/>
          <w:color w:val="000000"/>
          <w:kern w:val="28"/>
          <w:sz w:val="21"/>
          <w:szCs w:val="21"/>
          <w:lang w:val="en-US" w:eastAsia="zh-CN"/>
        </w:rPr>
      </w:pPr>
      <w:r>
        <w:rPr>
          <w:rFonts w:hint="eastAsia" w:ascii="宋体" w:hAnsi="宋体" w:eastAsia="宋体" w:cs="宋体"/>
          <w:b/>
          <w:bCs/>
          <w:color w:val="000000"/>
          <w:kern w:val="28"/>
          <w:sz w:val="21"/>
          <w:szCs w:val="21"/>
          <w:lang w:val="en-US" w:eastAsia="zh-CN"/>
        </w:rPr>
        <w:t>综合布线系统总体要求</w:t>
      </w:r>
    </w:p>
    <w:p w14:paraId="0B5D9E5D">
      <w:pPr>
        <w:pStyle w:val="13"/>
        <w:keepNext w:val="0"/>
        <w:keepLines w:val="0"/>
        <w:pageBreakBefore w:val="0"/>
        <w:numPr>
          <w:ilvl w:val="0"/>
          <w:numId w:val="13"/>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r>
        <w:rPr>
          <w:rFonts w:hint="eastAsia" w:ascii="宋体" w:hAnsi="宋体" w:eastAsia="宋体" w:cs="宋体"/>
          <w:b w:val="0"/>
          <w:bCs w:val="0"/>
          <w:color w:val="000000"/>
          <w:kern w:val="28"/>
          <w:sz w:val="21"/>
          <w:szCs w:val="21"/>
          <w:lang w:val="en-US" w:eastAsia="zh-CN"/>
        </w:rPr>
        <w:t>为保证整个系统的稳定性和整个系统的质保及后续对系统的方便维护，所有综合布线产品，从端到端必须要求采用统一品牌厂家的。</w:t>
      </w:r>
    </w:p>
    <w:p w14:paraId="3FA05537">
      <w:pPr>
        <w:pStyle w:val="13"/>
        <w:keepNext w:val="0"/>
        <w:keepLines w:val="0"/>
        <w:pageBreakBefore w:val="0"/>
        <w:numPr>
          <w:ilvl w:val="0"/>
          <w:numId w:val="13"/>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r>
        <w:rPr>
          <w:rFonts w:hint="eastAsia" w:ascii="宋体" w:hAnsi="宋体" w:eastAsia="宋体" w:cs="宋体"/>
          <w:b w:val="0"/>
          <w:bCs w:val="0"/>
          <w:color w:val="000000"/>
          <w:kern w:val="28"/>
          <w:sz w:val="21"/>
          <w:szCs w:val="21"/>
          <w:lang w:val="en-US" w:eastAsia="zh-CN"/>
        </w:rPr>
        <w:t>综合布线产品性能需完全符合IS011801，TIA/EIA568，EN50173以及GB50311等国内外标准；综合布线所有产品须通过国内或国外任意机构的测试。</w:t>
      </w:r>
    </w:p>
    <w:p w14:paraId="1D46E342">
      <w:pPr>
        <w:pStyle w:val="13"/>
        <w:keepNext w:val="0"/>
        <w:keepLines w:val="0"/>
        <w:pageBreakBefore w:val="0"/>
        <w:numPr>
          <w:ilvl w:val="0"/>
          <w:numId w:val="13"/>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r>
        <w:rPr>
          <w:rFonts w:hint="eastAsia" w:ascii="宋体" w:hAnsi="宋体" w:eastAsia="宋体" w:cs="宋体"/>
          <w:b w:val="0"/>
          <w:bCs w:val="0"/>
          <w:color w:val="000000"/>
          <w:kern w:val="28"/>
          <w:sz w:val="21"/>
          <w:szCs w:val="21"/>
          <w:lang w:val="en-US" w:eastAsia="zh-CN"/>
        </w:rPr>
        <w:t>所选的六类小外径跳线必须提供国检报告。</w:t>
      </w:r>
    </w:p>
    <w:p w14:paraId="4E08D12D">
      <w:pPr>
        <w:pStyle w:val="13"/>
        <w:keepNext w:val="0"/>
        <w:keepLines w:val="0"/>
        <w:pageBreakBefore w:val="0"/>
        <w:numPr>
          <w:ilvl w:val="0"/>
          <w:numId w:val="13"/>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r>
        <w:rPr>
          <w:rFonts w:hint="eastAsia" w:ascii="宋体" w:hAnsi="宋体" w:eastAsia="宋体" w:cs="宋体"/>
          <w:b w:val="0"/>
          <w:bCs w:val="0"/>
          <w:color w:val="000000"/>
          <w:kern w:val="28"/>
          <w:sz w:val="21"/>
          <w:szCs w:val="21"/>
          <w:lang w:val="en-US" w:eastAsia="zh-CN"/>
        </w:rPr>
        <w:t>综合布线产品见下表：</w:t>
      </w:r>
    </w:p>
    <w:tbl>
      <w:tblPr>
        <w:tblStyle w:val="7"/>
        <w:tblW w:w="895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1305"/>
        <w:gridCol w:w="7016"/>
      </w:tblGrid>
      <w:tr w14:paraId="214B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35" w:type="dxa"/>
            <w:noWrap w:val="0"/>
            <w:vAlign w:val="center"/>
          </w:tcPr>
          <w:p w14:paraId="1E539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序号</w:t>
            </w:r>
          </w:p>
        </w:tc>
        <w:tc>
          <w:tcPr>
            <w:tcW w:w="1305" w:type="dxa"/>
            <w:noWrap w:val="0"/>
            <w:vAlign w:val="center"/>
          </w:tcPr>
          <w:p w14:paraId="1FADD8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产品名称</w:t>
            </w:r>
          </w:p>
        </w:tc>
        <w:tc>
          <w:tcPr>
            <w:tcW w:w="7016" w:type="dxa"/>
            <w:noWrap w:val="0"/>
            <w:vAlign w:val="center"/>
          </w:tcPr>
          <w:p w14:paraId="1B2B21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技术参数</w:t>
            </w:r>
          </w:p>
        </w:tc>
      </w:tr>
      <w:tr w14:paraId="5B5BF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2DC0B1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1</w:t>
            </w:r>
          </w:p>
        </w:tc>
        <w:tc>
          <w:tcPr>
            <w:tcW w:w="1305" w:type="dxa"/>
            <w:noWrap w:val="0"/>
            <w:vAlign w:val="center"/>
          </w:tcPr>
          <w:p w14:paraId="1CB984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六类非屏蔽模块</w:t>
            </w:r>
          </w:p>
        </w:tc>
        <w:tc>
          <w:tcPr>
            <w:tcW w:w="7016" w:type="dxa"/>
            <w:noWrap w:val="0"/>
            <w:vAlign w:val="center"/>
          </w:tcPr>
          <w:p w14:paraId="5C20FD0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（1）模块主体塑料材质：聚碳酸酯（PC）UL94V-0</w:t>
            </w:r>
          </w:p>
          <w:p w14:paraId="671287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（2）IDC端子材质：磷青铜镀镍 ,IDC分线峰设计，易分线</w:t>
            </w:r>
          </w:p>
          <w:p w14:paraId="05D5A05C">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（3）KEYSTONE 结构，面板和配线架统一配置</w:t>
            </w:r>
          </w:p>
          <w:p w14:paraId="7E8979C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（4）前置防尘门,按掀式卡扣线夹盖，便于取放</w:t>
            </w:r>
          </w:p>
          <w:p w14:paraId="0FBAAB3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（5）金针材质：磷青铜镀金50μm </w:t>
            </w:r>
          </w:p>
          <w:p w14:paraId="59D5C57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（6）模块产品全系列（超五屏蔽/非屏蔽、六类屏蔽/非屏蔽、超六类屏蔽/非屏蔽、语音模块）免工具打接</w:t>
            </w:r>
          </w:p>
          <w:p w14:paraId="355DFB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p>
        </w:tc>
      </w:tr>
      <w:tr w14:paraId="4DBD8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613D2E7C">
            <w:pPr>
              <w:pStyle w:val="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2</w:t>
            </w:r>
          </w:p>
        </w:tc>
        <w:tc>
          <w:tcPr>
            <w:tcW w:w="1305" w:type="dxa"/>
            <w:noWrap w:val="0"/>
            <w:vAlign w:val="center"/>
          </w:tcPr>
          <w:p w14:paraId="7548D6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86型面板</w:t>
            </w:r>
          </w:p>
        </w:tc>
        <w:tc>
          <w:tcPr>
            <w:tcW w:w="7016" w:type="dxa"/>
            <w:noWrap w:val="0"/>
            <w:vAlign w:val="center"/>
          </w:tcPr>
          <w:p w14:paraId="315C4B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（1）产品符合</w:t>
            </w:r>
            <w:r>
              <w:rPr>
                <w:rFonts w:hint="eastAsia" w:ascii="宋体" w:hAnsi="宋体" w:cs="宋体"/>
                <w:b w:val="0"/>
                <w:bCs w:val="0"/>
                <w:color w:val="000000"/>
                <w:kern w:val="28"/>
                <w:sz w:val="21"/>
                <w:szCs w:val="21"/>
                <w:lang w:val="en-US" w:eastAsia="zh-CN" w:bidi="ar-SA"/>
              </w:rPr>
              <w:t>YD/T926.3-2024</w:t>
            </w:r>
            <w:r>
              <w:rPr>
                <w:rFonts w:hint="eastAsia" w:ascii="宋体" w:hAnsi="宋体" w:eastAsia="宋体" w:cs="宋体"/>
                <w:b w:val="0"/>
                <w:bCs w:val="0"/>
                <w:color w:val="000000"/>
                <w:kern w:val="28"/>
                <w:sz w:val="21"/>
                <w:szCs w:val="21"/>
                <w:lang w:val="en-US" w:eastAsia="zh-CN" w:bidi="ar-SA"/>
              </w:rPr>
              <w:t>的标准要求</w:t>
            </w:r>
          </w:p>
          <w:p w14:paraId="52F38A5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（2）面板主体塑料材质：优质PC材质，阻燃V2等级</w:t>
            </w:r>
          </w:p>
          <w:p w14:paraId="1F7A558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（3）标识：含有机玻璃的标签 </w:t>
            </w:r>
          </w:p>
          <w:p w14:paraId="62352D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（4）按压式卡扣，免工具拆卸</w:t>
            </w:r>
          </w:p>
          <w:p w14:paraId="2DDE4C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（5）颜色可选（白色、银色、金色） </w:t>
            </w:r>
          </w:p>
          <w:p w14:paraId="77F3D11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（6）端口标识：自带内嵌式双面ICON，方便区分网络及语音端口应用</w:t>
            </w:r>
          </w:p>
          <w:p w14:paraId="139560C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（7）安装方式：使用面板包装内配套的双螺丝明装或暗装 </w:t>
            </w:r>
          </w:p>
        </w:tc>
      </w:tr>
      <w:tr w14:paraId="2FF2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4813933B">
            <w:pPr>
              <w:pStyle w:val="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3</w:t>
            </w:r>
          </w:p>
        </w:tc>
        <w:tc>
          <w:tcPr>
            <w:tcW w:w="1305" w:type="dxa"/>
            <w:noWrap w:val="0"/>
            <w:vAlign w:val="center"/>
          </w:tcPr>
          <w:p w14:paraId="19D4F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六类非屏蔽双绞线</w:t>
            </w:r>
          </w:p>
        </w:tc>
        <w:tc>
          <w:tcPr>
            <w:tcW w:w="7016" w:type="dxa"/>
            <w:noWrap w:val="0"/>
            <w:vAlign w:val="center"/>
          </w:tcPr>
          <w:p w14:paraId="48C996F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（1）六类非屏蔽双绞线；线规：23AWG；物理带宽：250MHz；最高实现带宽：350MHz；环路电阻（20℃） 76Ω/km；阻抗平均值（100 MHz） 100Ω±5Ω；满足标准：传输性能参数符合并超过标准：ANSI/TIA/EIA 568.2-DCategory 6，ISO/IEC 11801； </w:t>
            </w:r>
          </w:p>
        </w:tc>
      </w:tr>
      <w:tr w14:paraId="5B8C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6C0A476C">
            <w:pPr>
              <w:pStyle w:val="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w:t>
            </w:r>
          </w:p>
        </w:tc>
        <w:tc>
          <w:tcPr>
            <w:tcW w:w="1305" w:type="dxa"/>
            <w:noWrap w:val="0"/>
            <w:vAlign w:val="center"/>
          </w:tcPr>
          <w:p w14:paraId="24470C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配线架</w:t>
            </w:r>
          </w:p>
        </w:tc>
        <w:tc>
          <w:tcPr>
            <w:tcW w:w="7016" w:type="dxa"/>
            <w:noWrap w:val="0"/>
            <w:vAlign w:val="center"/>
          </w:tcPr>
          <w:p w14:paraId="4CF97E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（1）IDC带分线峰和预卡接功能设计，托架自带理线功能便于端接维护</w:t>
            </w:r>
          </w:p>
          <w:p w14:paraId="2FF7DE9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配线架端子为一体式设计，性能稳定；端口标签翻转设计和彩色化标识</w:t>
            </w:r>
          </w:p>
          <w:p w14:paraId="207C32C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（2）配线架金属材质：全钢架结构+黑色喷塑 </w:t>
            </w:r>
          </w:p>
          <w:p w14:paraId="37BC7C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（3）配线架塑料材质：阻燃塑胶料，防火等级达到UL94V-0 </w:t>
            </w:r>
          </w:p>
          <w:p w14:paraId="63875D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（3）IDC打线端子：磷青铜镀镍 </w:t>
            </w:r>
          </w:p>
          <w:p w14:paraId="603EA37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（4）镀金层厚度：磷青铜金针镀金50μ″，镀软镍60μ</w:t>
            </w:r>
          </w:p>
        </w:tc>
      </w:tr>
      <w:tr w14:paraId="0767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71835913">
            <w:pPr>
              <w:pStyle w:val="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5</w:t>
            </w:r>
          </w:p>
        </w:tc>
        <w:tc>
          <w:tcPr>
            <w:tcW w:w="1305" w:type="dxa"/>
            <w:noWrap w:val="0"/>
            <w:vAlign w:val="center"/>
          </w:tcPr>
          <w:p w14:paraId="421C7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网络跳线</w:t>
            </w:r>
          </w:p>
        </w:tc>
        <w:tc>
          <w:tcPr>
            <w:tcW w:w="7016" w:type="dxa"/>
            <w:noWrap w:val="0"/>
            <w:vAlign w:val="center"/>
          </w:tcPr>
          <w:p w14:paraId="68642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（1）跳线接头类型：注塑RJ45端子-注塑RJ45端子 </w:t>
            </w:r>
          </w:p>
          <w:p w14:paraId="401603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（2）跳线线缆类型：28AWG对绞芯线 （多股）</w:t>
            </w:r>
          </w:p>
          <w:p w14:paraId="5031993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（3）寻址链路-带灯网络跳线，方便寻找链路</w:t>
            </w:r>
          </w:p>
          <w:p w14:paraId="291DD1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（4）亮灯指示区分线路，方便使用和维护</w:t>
            </w:r>
          </w:p>
          <w:p w14:paraId="3C952308">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（5）接头部分采用一体灌胶成型，包浆均匀,不单独采用胶套保护，保证线对插拔受力不影响性能；防滑按套,插拔跳线方便,保护水晶头压舌；</w:t>
            </w:r>
          </w:p>
          <w:p w14:paraId="035572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（6）通过单体测试认证</w:t>
            </w:r>
          </w:p>
          <w:p w14:paraId="15A4900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（7）符合</w:t>
            </w:r>
            <w:r>
              <w:rPr>
                <w:rFonts w:hint="eastAsia" w:ascii="宋体" w:hAnsi="宋体" w:cs="宋体"/>
                <w:b w:val="0"/>
                <w:bCs w:val="0"/>
                <w:color w:val="000000"/>
                <w:kern w:val="28"/>
                <w:sz w:val="21"/>
                <w:szCs w:val="21"/>
                <w:lang w:val="en-US" w:eastAsia="zh-CN" w:bidi="ar-SA"/>
              </w:rPr>
              <w:t>YD/T926.3-2024</w:t>
            </w:r>
            <w:r>
              <w:rPr>
                <w:rFonts w:hint="eastAsia" w:ascii="宋体" w:hAnsi="宋体" w:eastAsia="宋体" w:cs="宋体"/>
                <w:b w:val="0"/>
                <w:bCs w:val="0"/>
                <w:color w:val="000000"/>
                <w:kern w:val="28"/>
                <w:sz w:val="21"/>
                <w:szCs w:val="21"/>
                <w:lang w:val="en-US" w:eastAsia="zh-CN" w:bidi="ar-SA"/>
              </w:rPr>
              <w:t>、TIA/EIA 568.2-D和ISO/IEC 11801标准规定的要求</w:t>
            </w:r>
          </w:p>
        </w:tc>
      </w:tr>
      <w:tr w14:paraId="664F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631733F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6</w:t>
            </w:r>
          </w:p>
        </w:tc>
        <w:tc>
          <w:tcPr>
            <w:tcW w:w="1305" w:type="dxa"/>
            <w:noWrap w:val="0"/>
            <w:vAlign w:val="center"/>
          </w:tcPr>
          <w:p w14:paraId="127133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铝合金理线架</w:t>
            </w:r>
          </w:p>
          <w:p w14:paraId="2F5809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p>
        </w:tc>
        <w:tc>
          <w:tcPr>
            <w:tcW w:w="7016" w:type="dxa"/>
            <w:noWrap w:val="0"/>
            <w:vAlign w:val="center"/>
          </w:tcPr>
          <w:p w14:paraId="0EC325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（1）理线器整体材质：铝型材+黑色喷塑</w:t>
            </w:r>
          </w:p>
          <w:p w14:paraId="1E87042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（2）支持更宽大的理线空间，提供更高的结构强度</w:t>
            </w:r>
          </w:p>
          <w:p w14:paraId="72A739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（3）安装高度：1U </w:t>
            </w:r>
          </w:p>
          <w:p w14:paraId="3F45B4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（4）安装方式：机柜螺丝安装</w:t>
            </w:r>
          </w:p>
        </w:tc>
      </w:tr>
      <w:tr w14:paraId="4B2A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282D265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7</w:t>
            </w:r>
          </w:p>
        </w:tc>
        <w:tc>
          <w:tcPr>
            <w:tcW w:w="1305" w:type="dxa"/>
            <w:noWrap w:val="0"/>
            <w:vAlign w:val="center"/>
          </w:tcPr>
          <w:p w14:paraId="7AF2D64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光纤配线架</w:t>
            </w:r>
          </w:p>
        </w:tc>
        <w:tc>
          <w:tcPr>
            <w:tcW w:w="7016" w:type="dxa"/>
            <w:noWrap w:val="0"/>
            <w:vAlign w:val="center"/>
          </w:tcPr>
          <w:p w14:paraId="7D052C3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（1）钣金工艺与雾面喷塑   </w:t>
            </w:r>
          </w:p>
          <w:p w14:paraId="51757A2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（2）模块化设计便于不同接头不同密度的连接  </w:t>
            </w:r>
          </w:p>
          <w:p w14:paraId="6EFA04F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（3）快捷式 安装，无螺丝设计，无需工具即可进行施工及维护。  </w:t>
            </w:r>
          </w:p>
          <w:p w14:paraId="53809CC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（4）内置24芯光纤熔纤盘和盘纤器，有足够的空间保证光纤的盘绕、固定和接续；单个配线架可端接至少12芯，并具有光缆固定功能（投标文件中提供文件证明）</w:t>
            </w:r>
          </w:p>
          <w:p w14:paraId="69C6B7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（5）提供抽屉式、固定式、旋转式三种以上结构选择</w:t>
            </w:r>
          </w:p>
          <w:p w14:paraId="5BDEDA8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（6）使用温度：-20～70℃ </w:t>
            </w:r>
          </w:p>
          <w:p w14:paraId="47CCB4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（7）湿度：≤85%（温度85℃±3℃）</w:t>
            </w:r>
          </w:p>
        </w:tc>
      </w:tr>
      <w:tr w14:paraId="7AFD3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35" w:type="dxa"/>
            <w:noWrap w:val="0"/>
            <w:vAlign w:val="center"/>
          </w:tcPr>
          <w:p w14:paraId="5D36CEE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8</w:t>
            </w:r>
          </w:p>
        </w:tc>
        <w:tc>
          <w:tcPr>
            <w:tcW w:w="1305" w:type="dxa"/>
            <w:noWrap w:val="0"/>
            <w:vAlign w:val="center"/>
          </w:tcPr>
          <w:p w14:paraId="3F61E0E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光纤跳线</w:t>
            </w:r>
          </w:p>
        </w:tc>
        <w:tc>
          <w:tcPr>
            <w:tcW w:w="7016" w:type="dxa"/>
            <w:noWrap w:val="0"/>
            <w:vAlign w:val="center"/>
          </w:tcPr>
          <w:p w14:paraId="38BED64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（1）品牌化尾套设计，便于用户识别快速原装正品 </w:t>
            </w:r>
          </w:p>
          <w:p w14:paraId="44E01A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（2）连接器插入损耗：≤0.3dB/每接口 </w:t>
            </w:r>
          </w:p>
          <w:p w14:paraId="284077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 xml:space="preserve">（3）连接器回波损耗：单模≥50dB，多模≥20dB  </w:t>
            </w:r>
          </w:p>
          <w:p w14:paraId="3CF5CEC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（4）光缆外径2.0mm</w:t>
            </w:r>
          </w:p>
          <w:p w14:paraId="4A7FA35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 w:val="0"/>
                <w:bCs w:val="0"/>
                <w:color w:val="000000"/>
                <w:kern w:val="28"/>
                <w:sz w:val="21"/>
                <w:szCs w:val="21"/>
                <w:lang w:val="en-US" w:eastAsia="zh-CN" w:bidi="ar-SA"/>
              </w:rPr>
            </w:pPr>
            <w:r>
              <w:rPr>
                <w:rFonts w:hint="eastAsia" w:ascii="宋体" w:hAnsi="宋体" w:eastAsia="宋体" w:cs="宋体"/>
                <w:b w:val="0"/>
                <w:bCs w:val="0"/>
                <w:color w:val="000000"/>
                <w:kern w:val="28"/>
                <w:sz w:val="21"/>
                <w:szCs w:val="21"/>
                <w:lang w:val="en-US" w:eastAsia="zh-CN" w:bidi="ar-SA"/>
              </w:rPr>
              <w:t>（5）连接器两端带拉杆，高密度布线环境下更容易插拔</w:t>
            </w:r>
          </w:p>
        </w:tc>
      </w:tr>
    </w:tbl>
    <w:p w14:paraId="28DB93C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b/>
          <w:bCs/>
          <w:color w:val="0C0C0C"/>
          <w:kern w:val="2"/>
          <w:sz w:val="21"/>
          <w:szCs w:val="21"/>
        </w:rPr>
      </w:pPr>
      <w:r>
        <w:rPr>
          <w:rFonts w:hint="eastAsia" w:ascii="宋体" w:hAnsi="宋体" w:eastAsia="宋体" w:cs="宋体"/>
          <w:b/>
          <w:bCs/>
          <w:color w:val="0C0C0C"/>
          <w:kern w:val="2"/>
          <w:sz w:val="21"/>
          <w:szCs w:val="21"/>
          <w:lang w:val="en-US" w:eastAsia="zh-CN"/>
        </w:rPr>
        <w:t>2.</w:t>
      </w:r>
      <w:r>
        <w:rPr>
          <w:rFonts w:hint="eastAsia" w:ascii="宋体" w:hAnsi="宋体" w:eastAsia="宋体" w:cs="宋体"/>
          <w:b/>
          <w:bCs/>
          <w:color w:val="0C0C0C"/>
          <w:kern w:val="2"/>
          <w:sz w:val="21"/>
          <w:szCs w:val="21"/>
        </w:rPr>
        <w:t>施工规范及验收标准</w:t>
      </w:r>
    </w:p>
    <w:p w14:paraId="1B5A28B2">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（1）</w:t>
      </w:r>
      <w:r>
        <w:rPr>
          <w:rFonts w:hint="eastAsia" w:ascii="宋体" w:hAnsi="宋体" w:eastAsia="宋体" w:cs="宋体"/>
          <w:color w:val="0C0C0C"/>
          <w:sz w:val="21"/>
          <w:szCs w:val="21"/>
          <w:lang w:val="en-US"/>
        </w:rPr>
        <w:t>施工规范</w:t>
      </w:r>
    </w:p>
    <w:p w14:paraId="5C483E1C">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1)</w:t>
      </w:r>
      <w:r>
        <w:rPr>
          <w:rFonts w:hint="eastAsia" w:ascii="宋体" w:hAnsi="宋体" w:eastAsia="宋体" w:cs="宋体"/>
          <w:b w:val="0"/>
          <w:bCs w:val="0"/>
          <w:color w:val="0C0C0C"/>
          <w:sz w:val="21"/>
          <w:szCs w:val="21"/>
          <w:lang w:val="en-US"/>
        </w:rPr>
        <w:t>进行网线走线设计和布线时，将遵循横平竖直不交叉的布线方式；</w:t>
      </w:r>
    </w:p>
    <w:p w14:paraId="04A63E0F">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2)</w:t>
      </w:r>
      <w:r>
        <w:rPr>
          <w:rFonts w:hint="eastAsia" w:ascii="宋体" w:hAnsi="宋体" w:eastAsia="宋体" w:cs="宋体"/>
          <w:b w:val="0"/>
          <w:bCs w:val="0"/>
          <w:color w:val="0C0C0C"/>
          <w:sz w:val="21"/>
          <w:szCs w:val="21"/>
          <w:lang w:val="en-US"/>
        </w:rPr>
        <w:t>线缆要穿管，穿管时线缆不能垂直管槽拉线；</w:t>
      </w:r>
    </w:p>
    <w:p w14:paraId="21006CD8">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3)</w:t>
      </w:r>
      <w:r>
        <w:rPr>
          <w:rFonts w:hint="eastAsia" w:ascii="宋体" w:hAnsi="宋体" w:eastAsia="宋体" w:cs="宋体"/>
          <w:b w:val="0"/>
          <w:bCs w:val="0"/>
          <w:color w:val="0C0C0C"/>
          <w:sz w:val="21"/>
          <w:szCs w:val="21"/>
          <w:lang w:val="en-US"/>
        </w:rPr>
        <w:t>网线折弯时，转弯半径要大于4 倍线缆外径；</w:t>
      </w:r>
    </w:p>
    <w:p w14:paraId="35ED870A">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4)</w:t>
      </w:r>
      <w:r>
        <w:rPr>
          <w:rFonts w:hint="eastAsia" w:ascii="宋体" w:hAnsi="宋体" w:eastAsia="宋体" w:cs="宋体"/>
          <w:b w:val="0"/>
          <w:bCs w:val="0"/>
          <w:color w:val="0C0C0C"/>
          <w:sz w:val="21"/>
          <w:szCs w:val="21"/>
          <w:lang w:val="en-US"/>
        </w:rPr>
        <w:t>网线跟强电线的并行距离也不能超过10米；</w:t>
      </w:r>
    </w:p>
    <w:p w14:paraId="392E8178">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5)</w:t>
      </w:r>
      <w:r>
        <w:rPr>
          <w:rFonts w:hint="eastAsia" w:ascii="宋体" w:hAnsi="宋体" w:eastAsia="宋体" w:cs="宋体"/>
          <w:b w:val="0"/>
          <w:bCs w:val="0"/>
          <w:color w:val="0C0C0C"/>
          <w:sz w:val="21"/>
          <w:szCs w:val="21"/>
          <w:lang w:val="en-US"/>
        </w:rPr>
        <w:t>机房里一般24根线绑在一起；</w:t>
      </w:r>
    </w:p>
    <w:p w14:paraId="0287B971">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6)</w:t>
      </w:r>
      <w:r>
        <w:rPr>
          <w:rFonts w:hint="eastAsia" w:ascii="宋体" w:hAnsi="宋体" w:eastAsia="宋体" w:cs="宋体"/>
          <w:b w:val="0"/>
          <w:bCs w:val="0"/>
          <w:color w:val="0C0C0C"/>
          <w:sz w:val="21"/>
          <w:szCs w:val="21"/>
          <w:lang w:val="en-US"/>
        </w:rPr>
        <w:t>在安装桥架时，桥架应该不低于2.2米；</w:t>
      </w:r>
    </w:p>
    <w:p w14:paraId="4CF30352">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7)</w:t>
      </w:r>
      <w:r>
        <w:rPr>
          <w:rFonts w:hint="eastAsia" w:ascii="宋体" w:hAnsi="宋体" w:eastAsia="宋体" w:cs="宋体"/>
          <w:b w:val="0"/>
          <w:bCs w:val="0"/>
          <w:color w:val="0C0C0C"/>
          <w:sz w:val="21"/>
          <w:szCs w:val="21"/>
          <w:lang w:val="en-US"/>
        </w:rPr>
        <w:t>配线架施工完成后，剩余的线缆要盘成圆放到机房静电地板下，模块的要放回管槽内；</w:t>
      </w:r>
    </w:p>
    <w:p w14:paraId="4AFA6065">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8)</w:t>
      </w:r>
      <w:r>
        <w:rPr>
          <w:rFonts w:hint="eastAsia" w:ascii="宋体" w:hAnsi="宋体" w:eastAsia="宋体" w:cs="宋体"/>
          <w:b w:val="0"/>
          <w:bCs w:val="0"/>
          <w:color w:val="0C0C0C"/>
          <w:sz w:val="21"/>
          <w:szCs w:val="21"/>
          <w:lang w:val="en-US"/>
        </w:rPr>
        <w:t>弱电用的信息底盒应该用40或者50mm；安装在墙面的信息点离地面30厘米；</w:t>
      </w:r>
    </w:p>
    <w:p w14:paraId="6BCCE9B1">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bCs w:val="0"/>
          <w:color w:val="0C0C0C"/>
          <w:sz w:val="21"/>
          <w:szCs w:val="21"/>
          <w:lang w:val="en-US"/>
        </w:rPr>
      </w:pPr>
      <w:r>
        <w:rPr>
          <w:rFonts w:hint="eastAsia" w:ascii="宋体" w:hAnsi="宋体" w:eastAsia="宋体" w:cs="宋体"/>
          <w:b w:val="0"/>
          <w:bCs w:val="0"/>
          <w:color w:val="0C0C0C"/>
          <w:sz w:val="21"/>
          <w:szCs w:val="21"/>
          <w:lang w:val="en-US" w:eastAsia="zh-CN"/>
        </w:rPr>
        <w:t>9)</w:t>
      </w:r>
      <w:r>
        <w:rPr>
          <w:rFonts w:hint="eastAsia" w:ascii="宋体" w:hAnsi="宋体" w:eastAsia="宋体" w:cs="宋体"/>
          <w:b w:val="0"/>
          <w:bCs w:val="0"/>
          <w:color w:val="0C0C0C"/>
          <w:sz w:val="21"/>
          <w:szCs w:val="21"/>
          <w:lang w:val="en-US"/>
        </w:rPr>
        <w:t>强弱电底盒之间应相距20厘米；</w:t>
      </w:r>
    </w:p>
    <w:p w14:paraId="70E40618">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（2）</w:t>
      </w:r>
      <w:r>
        <w:rPr>
          <w:rFonts w:hint="eastAsia" w:ascii="宋体" w:hAnsi="宋体" w:eastAsia="宋体" w:cs="宋体"/>
          <w:color w:val="0C0C0C"/>
          <w:sz w:val="21"/>
          <w:szCs w:val="21"/>
          <w:lang w:val="en-US"/>
        </w:rPr>
        <w:t>施工工艺</w:t>
      </w:r>
    </w:p>
    <w:p w14:paraId="52182982">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钢管、金属线槽敷设：布放双护套缆线和主干缆线时，直线管道的管径利用率应为50%-60%，弯管道为40%-50%，暗管布放4对双绞电缆时，管道的截面利用率应为25%-30%。预埋线槽采用金属线槽，线槽的截面利用率应不超过40%。</w:t>
      </w:r>
    </w:p>
    <w:p w14:paraId="42084F67">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线缆敷设：① 线缆的布放应自然平直，线缆间不得缠绕、交叉等。②线缆不应受到外力的挤压，且与线缆接触的表面应平整、光滑，以免造成线缆的变形与损伤。③线缆在布放前两端应贴有标签，以表明起始和终端位置，标签书写应清晰。④对绞电缆、光缆及建筑物内其他智能化系统的线缆应分隔布放，且无接头。⑤缆线布放时应有冗余，在交接间、设备间对绞电缆预留长度，一般为机柜周长的一半，不小于1m；工作区为30cm；光缆在弱电配线间内预留长度为5m；在网络分线机房内预留长度为10m，大对数线缆在弱电配线间内预留长度为5m，在网络分线机房内预留长度为10m，以备以后接线使用，在过线盒内预留15cm，以备接线或者特殊要求使用，有特殊要求的应按设计要求预留长度。</w:t>
      </w:r>
    </w:p>
    <w:p w14:paraId="03CFE583">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color w:val="0C0C0C"/>
          <w:sz w:val="21"/>
          <w:szCs w:val="21"/>
          <w:lang w:val="en-US"/>
        </w:rPr>
      </w:pPr>
      <w:r>
        <w:rPr>
          <w:rFonts w:hint="eastAsia" w:ascii="宋体" w:hAnsi="宋体" w:eastAsia="宋体" w:cs="宋体"/>
          <w:b w:val="0"/>
          <w:color w:val="0C0C0C"/>
          <w:sz w:val="21"/>
          <w:szCs w:val="21"/>
          <w:lang w:val="en-US" w:eastAsia="zh-CN"/>
        </w:rPr>
        <w:t>3)</w:t>
      </w:r>
      <w:r>
        <w:rPr>
          <w:rFonts w:hint="eastAsia" w:ascii="宋体" w:hAnsi="宋体" w:eastAsia="宋体" w:cs="宋体"/>
          <w:b w:val="0"/>
          <w:color w:val="0C0C0C"/>
          <w:sz w:val="21"/>
          <w:szCs w:val="21"/>
          <w:lang w:val="en-US"/>
        </w:rPr>
        <w:t>线缆标识：① 线缆应采用永久标识，标识为打印机印，并能有防破坏保护措施。② 数据线缆和语音线缆应使用不同颜色进行区分。③ 内网光纤外网光纤应使用不同颜色光缆进行区分。</w:t>
      </w:r>
    </w:p>
    <w:p w14:paraId="064D1C82">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（3）</w:t>
      </w:r>
      <w:r>
        <w:rPr>
          <w:rFonts w:hint="eastAsia" w:ascii="宋体" w:hAnsi="宋体" w:eastAsia="宋体" w:cs="宋体"/>
          <w:color w:val="0C0C0C"/>
          <w:sz w:val="21"/>
          <w:szCs w:val="21"/>
          <w:lang w:val="en-US"/>
        </w:rPr>
        <w:t>材料验收</w:t>
      </w:r>
    </w:p>
    <w:p w14:paraId="62B3390B">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供综合布线产品检测报告。</w:t>
      </w:r>
    </w:p>
    <w:p w14:paraId="37C5D8AB">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检查电线规格型号，检查截面尺寸、绝缘层是否符合现行国家标准。</w:t>
      </w:r>
    </w:p>
    <w:p w14:paraId="295B4C2D">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3)</w:t>
      </w:r>
      <w:r>
        <w:rPr>
          <w:rFonts w:hint="eastAsia" w:ascii="宋体" w:hAnsi="宋体" w:eastAsia="宋体" w:cs="宋体"/>
          <w:color w:val="0C0C0C"/>
          <w:kern w:val="2"/>
          <w:sz w:val="21"/>
          <w:szCs w:val="21"/>
        </w:rPr>
        <w:t>检验工作完成后</w:t>
      </w:r>
      <w:r>
        <w:rPr>
          <w:rFonts w:hint="eastAsia" w:ascii="宋体" w:hAnsi="宋体" w:eastAsia="宋体" w:cs="宋体"/>
          <w:color w:val="0C0C0C"/>
          <w:kern w:val="2"/>
          <w:sz w:val="21"/>
          <w:szCs w:val="21"/>
          <w:lang w:eastAsia="zh-CN"/>
        </w:rPr>
        <w:t>，</w:t>
      </w:r>
      <w:r>
        <w:rPr>
          <w:rFonts w:hint="eastAsia" w:ascii="宋体" w:hAnsi="宋体" w:eastAsia="宋体" w:cs="宋体"/>
          <w:color w:val="0C0C0C"/>
          <w:kern w:val="2"/>
          <w:sz w:val="21"/>
          <w:szCs w:val="21"/>
        </w:rPr>
        <w:t xml:space="preserve">将结果如实存档，将收集的出厂合格证和出厂检验报告等质量证明文件整理后一并存档。 </w:t>
      </w:r>
    </w:p>
    <w:p w14:paraId="0FF8CB72">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（4）</w:t>
      </w:r>
      <w:r>
        <w:rPr>
          <w:rFonts w:hint="eastAsia" w:ascii="宋体" w:hAnsi="宋体" w:eastAsia="宋体" w:cs="宋体"/>
          <w:color w:val="0C0C0C"/>
          <w:sz w:val="21"/>
          <w:szCs w:val="21"/>
          <w:lang w:val="en-US"/>
        </w:rPr>
        <w:t>线缆端接</w:t>
      </w:r>
    </w:p>
    <w:p w14:paraId="635A573A">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缆线端接的一般要求：①缆线在终接前，必须检查标签颜色和数字含义，并按顺序终接。②缆线中间不得有接头。③缆线终端处必须卡接牢固、接触良好。④缆线终端安装应符合设计和产品厂家安装手册要求。⑤对绞电缆与插接件连接应认准线号、线位色标，不得颠倒和错接。</w:t>
      </w:r>
    </w:p>
    <w:p w14:paraId="5843B7F1">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对绞电缆插座和连接硬件的端接应符合下列要求：①使用专用剥线工具剥除电缆护套，注意不得刮伤绝缘层，且每对对绞线应尽量保持扭绞状态，避免因弯曲等造成线对的发散、分离。②对绞线与信息插座(RJ45)相连时，必须按色标和线对顺序进行卡接，不能将T568A/T568B两种标准混用，本工程采用T568B打接线缆和模块，然后采用专用打线工具进行端接后再安装插座帽。③对绞电缆与RJ45信息插座的卡接端子连接时，应按先近后远，先下后上的顺序进行卡接。</w:t>
      </w:r>
    </w:p>
    <w:p w14:paraId="37EE9DF2">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（5）</w:t>
      </w:r>
      <w:r>
        <w:rPr>
          <w:rFonts w:hint="eastAsia" w:ascii="宋体" w:hAnsi="宋体" w:eastAsia="宋体" w:cs="宋体"/>
          <w:color w:val="0C0C0C"/>
          <w:sz w:val="21"/>
          <w:szCs w:val="21"/>
          <w:lang w:val="en-US"/>
        </w:rPr>
        <w:t>面板安装</w:t>
      </w:r>
    </w:p>
    <w:p w14:paraId="6CD7367B">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采用墙身或办公桌明装，离地30cm，底座、接线模块与面板的安装牢固稳定，无松动现象；信息插座底座的固定方法应以现场施工的具体条件来定，可用膨胀螺钉，射钉等方法安装；设备表面的面板应保持在一个水平面上</w:t>
      </w:r>
      <w:r>
        <w:rPr>
          <w:rFonts w:hint="eastAsia" w:ascii="宋体" w:hAnsi="宋体" w:eastAsia="宋体" w:cs="宋体"/>
          <w:color w:val="0C0C0C"/>
          <w:kern w:val="2"/>
          <w:sz w:val="21"/>
          <w:szCs w:val="21"/>
          <w:lang w:eastAsia="zh-CN"/>
        </w:rPr>
        <w:t>。</w:t>
      </w:r>
    </w:p>
    <w:p w14:paraId="37E9D770">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信息插座应有明显的标志，可以采用颜色、图形和文字符号来表示所接终端设备的类型，以便使用时方便辨识；</w:t>
      </w:r>
    </w:p>
    <w:p w14:paraId="73AFCCCC">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3)</w:t>
      </w:r>
      <w:r>
        <w:rPr>
          <w:rFonts w:hint="eastAsia" w:ascii="宋体" w:hAnsi="宋体" w:eastAsia="宋体" w:cs="宋体"/>
          <w:color w:val="0C0C0C"/>
          <w:kern w:val="2"/>
          <w:sz w:val="21"/>
          <w:szCs w:val="21"/>
        </w:rPr>
        <w:t>安装在地面上或活动地板上的地面信息插座，是由接线盒体和插座面板两部分组成。插座面板有直立式(面板与地面成45°，可以倒下成平面)和水平式等几种。线缆连接固定在接线盒体内的装置上，接线盒体均埋在地面下，其盒盖面与地面平齐，可以开启，要求必须有严密防水、防尘和抗压功能。在不使用时，插座面板与地面齐平，不得影响人们日常行动；</w:t>
      </w:r>
    </w:p>
    <w:p w14:paraId="34B9AF69">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（6）</w:t>
      </w:r>
      <w:r>
        <w:rPr>
          <w:rFonts w:hint="eastAsia" w:ascii="宋体" w:hAnsi="宋体" w:eastAsia="宋体" w:cs="宋体"/>
          <w:color w:val="0C0C0C"/>
          <w:sz w:val="21"/>
          <w:szCs w:val="21"/>
          <w:lang w:val="en-US"/>
        </w:rPr>
        <w:t>系统调试</w:t>
      </w:r>
    </w:p>
    <w:p w14:paraId="2278C2A9">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综合布线系统测试包括：电缆系统电气性能测试及光纤系统性能测试(测试仪器具有存储测试记录功能，并可自动输出打印记录)。</w:t>
      </w:r>
    </w:p>
    <w:p w14:paraId="434B70E5">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电缆、光缆测试仪表必须经过计量部门校验，并取得合格证后，方可在工程中使用。</w:t>
      </w:r>
    </w:p>
    <w:p w14:paraId="21FE48D5">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3)</w:t>
      </w:r>
      <w:r>
        <w:rPr>
          <w:rFonts w:hint="eastAsia" w:ascii="宋体" w:hAnsi="宋体" w:eastAsia="宋体" w:cs="宋体"/>
          <w:color w:val="0C0C0C"/>
          <w:kern w:val="2"/>
          <w:sz w:val="21"/>
          <w:szCs w:val="21"/>
        </w:rPr>
        <w:t>测试仪应能测试3-6类对绞电缆和光纤链路。</w:t>
      </w:r>
    </w:p>
    <w:p w14:paraId="3AC9A6C1">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4)</w:t>
      </w:r>
      <w:r>
        <w:rPr>
          <w:rFonts w:hint="eastAsia" w:ascii="宋体" w:hAnsi="宋体" w:eastAsia="宋体" w:cs="宋体"/>
          <w:color w:val="0C0C0C"/>
          <w:kern w:val="2"/>
          <w:sz w:val="21"/>
          <w:szCs w:val="21"/>
        </w:rPr>
        <w:t>测试仪表应有输出端口，以将所有的测试数据存储，并随时输出至电脑和打印机进行维护和管理。</w:t>
      </w:r>
    </w:p>
    <w:p w14:paraId="570AD3AA">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（7）</w:t>
      </w:r>
      <w:r>
        <w:rPr>
          <w:rFonts w:hint="eastAsia" w:ascii="宋体" w:hAnsi="宋体" w:eastAsia="宋体" w:cs="宋体"/>
          <w:color w:val="0C0C0C"/>
          <w:sz w:val="21"/>
          <w:szCs w:val="21"/>
          <w:lang w:val="en-US"/>
        </w:rPr>
        <w:t>成品保护</w:t>
      </w:r>
    </w:p>
    <w:p w14:paraId="0D5C2102">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设备间、配线间、交接间的门应加锁，未经许可非安装人员不准入内。</w:t>
      </w:r>
    </w:p>
    <w:p w14:paraId="5CEC73F2">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在机房内施工时，必须采取保护和防尘措施，以免碰撞损伤设备。</w:t>
      </w:r>
    </w:p>
    <w:p w14:paraId="713C37EF">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3)</w:t>
      </w:r>
      <w:r>
        <w:rPr>
          <w:rFonts w:hint="eastAsia" w:ascii="宋体" w:hAnsi="宋体" w:eastAsia="宋体" w:cs="宋体"/>
          <w:color w:val="0C0C0C"/>
          <w:kern w:val="2"/>
          <w:sz w:val="21"/>
          <w:szCs w:val="21"/>
        </w:rPr>
        <w:t>电缆光缆端头在端接前做好密封保护工作。</w:t>
      </w:r>
    </w:p>
    <w:p w14:paraId="52D40457">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（8）</w:t>
      </w:r>
      <w:r>
        <w:rPr>
          <w:rFonts w:hint="eastAsia" w:ascii="宋体" w:hAnsi="宋体" w:eastAsia="宋体" w:cs="宋体"/>
          <w:color w:val="0C0C0C"/>
          <w:sz w:val="21"/>
          <w:szCs w:val="21"/>
          <w:lang w:val="en-US"/>
        </w:rPr>
        <w:t>检测验收</w:t>
      </w:r>
    </w:p>
    <w:p w14:paraId="71ADBC96">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 xml:space="preserve">综合布线系统性能检测应采用专用测试仪器(如FLUKE DSP 4000)对系统的各条链路进行检测，并对系统的信号传输技术指标及工程质量进行评定。 </w:t>
      </w:r>
    </w:p>
    <w:p w14:paraId="323D0B95">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 xml:space="preserve">综合布线系统性能检测时，光纤布线全部检测，电缆布线全部检测，并打印全部结果。 </w:t>
      </w:r>
    </w:p>
    <w:p w14:paraId="42E1526F">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3)</w:t>
      </w:r>
      <w:r>
        <w:rPr>
          <w:rFonts w:hint="eastAsia" w:ascii="宋体" w:hAnsi="宋体" w:eastAsia="宋体" w:cs="宋体"/>
          <w:color w:val="0C0C0C"/>
          <w:kern w:val="2"/>
          <w:sz w:val="21"/>
          <w:szCs w:val="21"/>
        </w:rPr>
        <w:t>系统性能检测合格判定应包括单项合格判定和综合合格判定。</w:t>
      </w:r>
    </w:p>
    <w:p w14:paraId="530ED46D">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a.</w:t>
      </w:r>
      <w:r>
        <w:rPr>
          <w:rFonts w:hint="eastAsia" w:ascii="宋体" w:hAnsi="宋体" w:eastAsia="宋体" w:cs="宋体"/>
          <w:color w:val="0C0C0C"/>
          <w:kern w:val="2"/>
          <w:sz w:val="21"/>
          <w:szCs w:val="21"/>
        </w:rPr>
        <w:t>单项合格判定如下： ①对绞电缆布线某一个信息端口及其水平布线电缆(信息点按连通性，长度要求、衰减和串扰等进行检测，有一个项目不合格，则判该线对不合格； ②允许未通过检测的信息点、线对、光纤链路经修复后复检。</w:t>
      </w:r>
    </w:p>
    <w:p w14:paraId="68123B42">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b.</w:t>
      </w:r>
      <w:r>
        <w:rPr>
          <w:rFonts w:hint="eastAsia" w:ascii="宋体" w:hAnsi="宋体" w:eastAsia="宋体" w:cs="宋体"/>
          <w:color w:val="0C0C0C"/>
          <w:kern w:val="2"/>
          <w:sz w:val="21"/>
          <w:szCs w:val="21"/>
        </w:rPr>
        <w:t>综合合格判定如下： ①光缆布线检测时，如果系统中有一条光纤链路无法修复，则判为不合格；②对绞电缆布线检测时，进行全部检测，并按全部检测的要求进行判定；③对绞电缆布线全部检测时，如果有下面两种情况之一时则判为不合格；无法修复的信息点数目超过信息点总数的1% ；不合格线对数目超过线对总数的l%；④全部检测或抽样检测的结论为合格，则系统检测合格；否则为不合格。</w:t>
      </w:r>
    </w:p>
    <w:p w14:paraId="5E4A6EB1">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(9)</w:t>
      </w:r>
      <w:r>
        <w:rPr>
          <w:rFonts w:hint="eastAsia" w:ascii="宋体" w:hAnsi="宋体" w:eastAsia="宋体" w:cs="宋体"/>
          <w:color w:val="0C0C0C"/>
          <w:sz w:val="21"/>
          <w:szCs w:val="21"/>
          <w:lang w:val="en-US"/>
        </w:rPr>
        <w:t>资料归档</w:t>
      </w:r>
    </w:p>
    <w:p w14:paraId="16723E0F">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rPr>
        <w:t>1</w:t>
      </w:r>
      <w:r>
        <w:rPr>
          <w:rFonts w:hint="eastAsia" w:ascii="宋体" w:hAnsi="宋体" w:eastAsia="宋体" w:cs="宋体"/>
          <w:color w:val="0C0C0C"/>
          <w:kern w:val="2"/>
          <w:sz w:val="21"/>
          <w:szCs w:val="21"/>
          <w:lang w:val="en-US" w:eastAsia="zh-CN"/>
        </w:rPr>
        <w:t>)</w:t>
      </w:r>
      <w:r>
        <w:rPr>
          <w:rFonts w:hint="eastAsia" w:ascii="宋体" w:hAnsi="宋体" w:eastAsia="宋体" w:cs="宋体"/>
          <w:color w:val="0C0C0C"/>
          <w:kern w:val="2"/>
          <w:sz w:val="21"/>
          <w:szCs w:val="21"/>
        </w:rPr>
        <w:t>本工程综合布线的结构；</w:t>
      </w:r>
    </w:p>
    <w:p w14:paraId="6F81B5C9">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lang w:eastAsia="zh-CN"/>
        </w:rPr>
      </w:pPr>
      <w:r>
        <w:rPr>
          <w:rFonts w:hint="eastAsia" w:ascii="宋体" w:hAnsi="宋体" w:eastAsia="宋体" w:cs="宋体"/>
          <w:color w:val="0C0C0C"/>
          <w:kern w:val="2"/>
          <w:sz w:val="21"/>
          <w:szCs w:val="21"/>
        </w:rPr>
        <w:t>2</w:t>
      </w:r>
      <w:r>
        <w:rPr>
          <w:rFonts w:hint="eastAsia" w:ascii="宋体" w:hAnsi="宋体" w:eastAsia="宋体" w:cs="宋体"/>
          <w:color w:val="0C0C0C"/>
          <w:kern w:val="2"/>
          <w:sz w:val="21"/>
          <w:szCs w:val="21"/>
          <w:lang w:val="en-US" w:eastAsia="zh-CN"/>
        </w:rPr>
        <w:t>)</w:t>
      </w:r>
      <w:r>
        <w:rPr>
          <w:rFonts w:hint="eastAsia" w:ascii="宋体" w:hAnsi="宋体" w:eastAsia="宋体" w:cs="宋体"/>
          <w:color w:val="0C0C0C"/>
          <w:kern w:val="2"/>
          <w:sz w:val="21"/>
          <w:szCs w:val="21"/>
        </w:rPr>
        <w:t>综合布线逻辑图介绍</w:t>
      </w:r>
      <w:r>
        <w:rPr>
          <w:rFonts w:hint="eastAsia" w:ascii="宋体" w:hAnsi="宋体" w:eastAsia="宋体" w:cs="宋体"/>
          <w:color w:val="0C0C0C"/>
          <w:kern w:val="2"/>
          <w:sz w:val="21"/>
          <w:szCs w:val="21"/>
          <w:lang w:eastAsia="zh-CN"/>
        </w:rPr>
        <w:t>；</w:t>
      </w:r>
    </w:p>
    <w:p w14:paraId="68E1553B">
      <w:pPr>
        <w:pStyle w:val="15"/>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color w:val="0C0C0C"/>
          <w:kern w:val="2"/>
          <w:sz w:val="21"/>
          <w:szCs w:val="21"/>
          <w:lang w:eastAsia="zh-CN"/>
        </w:rPr>
      </w:pPr>
      <w:r>
        <w:rPr>
          <w:rFonts w:hint="eastAsia" w:ascii="宋体" w:hAnsi="宋体" w:eastAsia="宋体" w:cs="宋体"/>
          <w:color w:val="0C0C0C"/>
          <w:kern w:val="2"/>
          <w:sz w:val="21"/>
          <w:szCs w:val="21"/>
        </w:rPr>
        <w:t>3</w:t>
      </w:r>
      <w:r>
        <w:rPr>
          <w:rFonts w:hint="eastAsia" w:ascii="宋体" w:hAnsi="宋体" w:eastAsia="宋体" w:cs="宋体"/>
          <w:color w:val="0C0C0C"/>
          <w:kern w:val="2"/>
          <w:sz w:val="21"/>
          <w:szCs w:val="21"/>
          <w:lang w:val="en-US" w:eastAsia="zh-CN"/>
        </w:rPr>
        <w:t>)</w:t>
      </w:r>
      <w:r>
        <w:rPr>
          <w:rFonts w:hint="eastAsia" w:ascii="宋体" w:hAnsi="宋体" w:eastAsia="宋体" w:cs="宋体"/>
          <w:color w:val="0C0C0C"/>
          <w:kern w:val="2"/>
          <w:sz w:val="21"/>
          <w:szCs w:val="21"/>
        </w:rPr>
        <w:t>综合布线平面布局图介绍</w:t>
      </w:r>
      <w:r>
        <w:rPr>
          <w:rFonts w:hint="eastAsia" w:ascii="宋体" w:hAnsi="宋体" w:eastAsia="宋体" w:cs="宋体"/>
          <w:color w:val="0C0C0C"/>
          <w:kern w:val="2"/>
          <w:sz w:val="21"/>
          <w:szCs w:val="21"/>
          <w:lang w:eastAsia="zh-CN"/>
        </w:rPr>
        <w:t>。</w:t>
      </w:r>
    </w:p>
    <w:p w14:paraId="5F343A65">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color w:val="0C0C0C"/>
          <w:sz w:val="21"/>
          <w:szCs w:val="21"/>
          <w:lang w:val="en-US"/>
        </w:rPr>
      </w:pPr>
      <w:r>
        <w:rPr>
          <w:rFonts w:hint="eastAsia" w:ascii="宋体" w:hAnsi="宋体" w:eastAsia="宋体" w:cs="宋体"/>
          <w:color w:val="0C0C0C"/>
          <w:sz w:val="21"/>
          <w:szCs w:val="21"/>
          <w:lang w:val="en-US" w:eastAsia="zh-CN"/>
        </w:rPr>
        <w:t>(10)</w:t>
      </w:r>
      <w:r>
        <w:rPr>
          <w:rFonts w:hint="eastAsia" w:ascii="宋体" w:hAnsi="宋体" w:eastAsia="宋体" w:cs="宋体"/>
          <w:color w:val="0C0C0C"/>
          <w:sz w:val="21"/>
          <w:szCs w:val="21"/>
          <w:lang w:val="en-US"/>
        </w:rPr>
        <w:t>售后服务</w:t>
      </w:r>
    </w:p>
    <w:p w14:paraId="1D15B874">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1)</w:t>
      </w:r>
      <w:r>
        <w:rPr>
          <w:rFonts w:hint="eastAsia" w:ascii="宋体" w:hAnsi="宋体" w:eastAsia="宋体" w:cs="宋体"/>
          <w:color w:val="0C0C0C"/>
          <w:kern w:val="2"/>
          <w:sz w:val="21"/>
          <w:szCs w:val="21"/>
        </w:rPr>
        <w:t>免费上门安装服务：新增网点12小时内施工完成，特殊情况4小时内完成；</w:t>
      </w:r>
    </w:p>
    <w:p w14:paraId="0685DB43">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color w:val="0C0C0C"/>
          <w:kern w:val="2"/>
          <w:sz w:val="21"/>
          <w:szCs w:val="21"/>
        </w:rPr>
      </w:pPr>
      <w:r>
        <w:rPr>
          <w:rFonts w:hint="eastAsia" w:ascii="宋体" w:hAnsi="宋体" w:eastAsia="宋体" w:cs="宋体"/>
          <w:color w:val="0C0C0C"/>
          <w:kern w:val="2"/>
          <w:sz w:val="21"/>
          <w:szCs w:val="21"/>
          <w:lang w:val="en-US" w:eastAsia="zh-CN"/>
        </w:rPr>
        <w:t>2）</w:t>
      </w:r>
      <w:r>
        <w:rPr>
          <w:rFonts w:hint="eastAsia" w:ascii="宋体" w:hAnsi="宋体" w:eastAsia="宋体" w:cs="宋体"/>
          <w:color w:val="0C0C0C"/>
          <w:kern w:val="2"/>
          <w:sz w:val="21"/>
          <w:szCs w:val="21"/>
        </w:rPr>
        <w:t>售后上门服务年限：1年</w:t>
      </w:r>
      <w:r>
        <w:rPr>
          <w:rFonts w:hint="eastAsia" w:ascii="宋体" w:hAnsi="宋体" w:eastAsia="宋体" w:cs="宋体"/>
          <w:color w:val="0C0C0C"/>
          <w:kern w:val="2"/>
          <w:sz w:val="21"/>
          <w:szCs w:val="21"/>
          <w:lang w:eastAsia="zh-CN"/>
        </w:rPr>
        <w:t>（自采购人</w:t>
      </w:r>
      <w:r>
        <w:rPr>
          <w:rFonts w:hint="eastAsia" w:ascii="宋体" w:hAnsi="宋体" w:eastAsia="宋体" w:cs="宋体"/>
          <w:sz w:val="21"/>
          <w:szCs w:val="21"/>
          <w:lang w:eastAsia="zh-CN"/>
        </w:rPr>
        <w:t>整体验收合格之日起算</w:t>
      </w:r>
      <w:r>
        <w:rPr>
          <w:rFonts w:hint="eastAsia" w:ascii="宋体" w:hAnsi="宋体" w:eastAsia="宋体" w:cs="宋体"/>
          <w:color w:val="0C0C0C"/>
          <w:kern w:val="2"/>
          <w:sz w:val="21"/>
          <w:szCs w:val="21"/>
          <w:lang w:eastAsia="zh-CN"/>
        </w:rPr>
        <w:t>）</w:t>
      </w:r>
      <w:r>
        <w:rPr>
          <w:rFonts w:hint="eastAsia" w:ascii="宋体" w:hAnsi="宋体" w:eastAsia="宋体" w:cs="宋体"/>
          <w:color w:val="0C0C0C"/>
          <w:kern w:val="2"/>
          <w:sz w:val="21"/>
          <w:szCs w:val="21"/>
        </w:rPr>
        <w:t>；</w:t>
      </w:r>
    </w:p>
    <w:p w14:paraId="19B7A955">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color w:val="0C0C0C"/>
          <w:sz w:val="21"/>
          <w:szCs w:val="21"/>
          <w:lang w:val="en-US"/>
        </w:rPr>
      </w:pPr>
      <w:r>
        <w:rPr>
          <w:rFonts w:hint="eastAsia" w:ascii="宋体" w:hAnsi="宋体" w:eastAsia="宋体" w:cs="宋体"/>
          <w:b w:val="0"/>
          <w:color w:val="0C0C0C"/>
          <w:sz w:val="21"/>
          <w:szCs w:val="21"/>
          <w:lang w:val="en-US" w:eastAsia="zh-CN"/>
        </w:rPr>
        <w:t>3)</w:t>
      </w:r>
      <w:r>
        <w:rPr>
          <w:rFonts w:hint="eastAsia" w:ascii="宋体" w:hAnsi="宋体" w:eastAsia="宋体" w:cs="宋体"/>
          <w:b w:val="0"/>
          <w:color w:val="0C0C0C"/>
          <w:sz w:val="21"/>
          <w:szCs w:val="21"/>
          <w:lang w:val="en-US"/>
        </w:rPr>
        <w:t>售后上门服务时限：接到报修后24小时内；</w:t>
      </w:r>
    </w:p>
    <w:p w14:paraId="1BAE8D3C">
      <w:pPr>
        <w:pStyle w:val="4"/>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both"/>
        <w:rPr>
          <w:rFonts w:hint="eastAsia" w:ascii="宋体" w:hAnsi="宋体" w:eastAsia="宋体" w:cs="宋体"/>
          <w:b w:val="0"/>
          <w:color w:val="0C0C0C"/>
          <w:sz w:val="21"/>
          <w:szCs w:val="21"/>
          <w:lang w:val="en-US"/>
        </w:rPr>
      </w:pPr>
      <w:r>
        <w:rPr>
          <w:rFonts w:hint="eastAsia" w:ascii="宋体" w:hAnsi="宋体" w:eastAsia="宋体" w:cs="宋体"/>
          <w:b w:val="0"/>
          <w:color w:val="0C0C0C"/>
          <w:sz w:val="21"/>
          <w:szCs w:val="21"/>
          <w:lang w:val="en-US" w:eastAsia="zh-CN"/>
        </w:rPr>
        <w:t>4)</w:t>
      </w:r>
      <w:r>
        <w:rPr>
          <w:rFonts w:hint="eastAsia" w:ascii="宋体" w:hAnsi="宋体" w:eastAsia="宋体" w:cs="宋体"/>
          <w:b w:val="0"/>
          <w:color w:val="0C0C0C"/>
          <w:sz w:val="21"/>
          <w:szCs w:val="21"/>
          <w:lang w:val="en-US"/>
        </w:rPr>
        <w:t>涉及LED大屏、门口小屏迁移的，</w:t>
      </w:r>
      <w:r>
        <w:rPr>
          <w:rFonts w:hint="eastAsia" w:ascii="宋体" w:hAnsi="宋体" w:eastAsia="宋体" w:cs="宋体"/>
          <w:b w:val="0"/>
          <w:color w:val="0C0C0C"/>
          <w:sz w:val="21"/>
          <w:szCs w:val="21"/>
          <w:lang w:val="en-US" w:eastAsia="zh-CN"/>
        </w:rPr>
        <w:t>成交供应商</w:t>
      </w:r>
      <w:r>
        <w:rPr>
          <w:rFonts w:hint="eastAsia" w:ascii="宋体" w:hAnsi="宋体" w:eastAsia="宋体" w:cs="宋体"/>
          <w:b w:val="0"/>
          <w:color w:val="0C0C0C"/>
          <w:sz w:val="21"/>
          <w:szCs w:val="21"/>
          <w:lang w:val="en-US"/>
        </w:rPr>
        <w:t xml:space="preserve">需配合提供迁移服务。 </w:t>
      </w:r>
    </w:p>
    <w:p w14:paraId="5E230DD3">
      <w:pPr>
        <w:pStyle w:val="13"/>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bCs w:val="0"/>
          <w:color w:val="000000"/>
          <w:kern w:val="28"/>
          <w:sz w:val="21"/>
          <w:szCs w:val="21"/>
          <w:lang w:val="en-US" w:eastAsia="zh-CN"/>
        </w:rPr>
      </w:pPr>
    </w:p>
    <w:p w14:paraId="704F403F">
      <w:pPr>
        <w:keepNext w:val="0"/>
        <w:keepLines w:val="0"/>
        <w:pageBreakBefore w:val="0"/>
        <w:tabs>
          <w:tab w:val="left" w:pos="426"/>
        </w:tabs>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eastAsia="zh-CN"/>
        </w:rPr>
        <w:t>（四）</w:t>
      </w:r>
      <w:r>
        <w:rPr>
          <w:rFonts w:hint="eastAsia" w:ascii="宋体" w:hAnsi="宋体" w:eastAsia="宋体" w:cs="宋体"/>
          <w:b/>
          <w:bCs/>
          <w:color w:val="000000"/>
          <w:kern w:val="28"/>
          <w:sz w:val="21"/>
          <w:szCs w:val="21"/>
        </w:rPr>
        <w:t>服务要求</w:t>
      </w:r>
    </w:p>
    <w:p w14:paraId="1CE83883">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1</w:t>
      </w:r>
      <w:r>
        <w:rPr>
          <w:rFonts w:hint="eastAsia" w:ascii="宋体" w:hAnsi="宋体" w:eastAsia="宋体" w:cs="宋体"/>
          <w:b/>
          <w:bCs/>
          <w:color w:val="000000"/>
          <w:kern w:val="28"/>
          <w:sz w:val="21"/>
          <w:szCs w:val="21"/>
        </w:rPr>
        <w:t>.维护服务人员要求</w:t>
      </w:r>
    </w:p>
    <w:p w14:paraId="168ACF21">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（1）本项目采用以驻场服务为主，机动为辅的混合服务模式，</w:t>
      </w:r>
      <w:r>
        <w:rPr>
          <w:rFonts w:hint="eastAsia" w:ascii="宋体" w:hAnsi="宋体" w:eastAsia="宋体" w:cs="宋体"/>
          <w:b w:val="0"/>
          <w:color w:val="0C0C0C"/>
          <w:sz w:val="21"/>
          <w:szCs w:val="21"/>
          <w:lang w:val="en-US" w:eastAsia="zh-CN"/>
        </w:rPr>
        <w:t>成交供应商</w:t>
      </w:r>
      <w:r>
        <w:rPr>
          <w:rFonts w:hint="eastAsia" w:ascii="宋体" w:hAnsi="宋体" w:eastAsia="宋体" w:cs="宋体"/>
          <w:b w:val="0"/>
          <w:color w:val="000000"/>
          <w:kern w:val="28"/>
          <w:sz w:val="21"/>
          <w:szCs w:val="21"/>
          <w:lang w:val="en-US"/>
        </w:rPr>
        <w:t>要安排专责服务团队，负责接收报障、登记、分类、故障处理等工作。</w:t>
      </w:r>
    </w:p>
    <w:p w14:paraId="71481B38">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（2）严格遵守中山市人民医院的信息安全保密要求。</w:t>
      </w:r>
    </w:p>
    <w:p w14:paraId="44C7A72C">
      <w:pPr>
        <w:pStyle w:val="13"/>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eastAsia="zh-CN"/>
        </w:rPr>
      </w:pPr>
      <w:r>
        <w:rPr>
          <w:rFonts w:hint="eastAsia" w:ascii="宋体" w:hAnsi="宋体" w:eastAsia="宋体" w:cs="宋体"/>
          <w:b w:val="0"/>
          <w:color w:val="000000"/>
          <w:kern w:val="28"/>
          <w:sz w:val="21"/>
          <w:szCs w:val="21"/>
          <w:lang w:val="en-US"/>
        </w:rPr>
        <w:t>▲（3）</w:t>
      </w:r>
      <w:r>
        <w:rPr>
          <w:rFonts w:hint="eastAsia" w:ascii="宋体" w:hAnsi="宋体" w:eastAsia="宋体" w:cs="宋体"/>
          <w:b w:val="0"/>
          <w:color w:val="0C0C0C"/>
          <w:sz w:val="21"/>
          <w:szCs w:val="21"/>
          <w:lang w:val="en-US" w:eastAsia="zh-CN"/>
        </w:rPr>
        <w:t>成交供应商</w:t>
      </w:r>
      <w:r>
        <w:rPr>
          <w:rFonts w:hint="eastAsia" w:ascii="宋体" w:hAnsi="宋体" w:eastAsia="宋体" w:cs="宋体"/>
          <w:b w:val="0"/>
          <w:color w:val="000000"/>
          <w:kern w:val="28"/>
          <w:sz w:val="21"/>
          <w:szCs w:val="21"/>
          <w:lang w:val="en-US"/>
        </w:rPr>
        <w:t>就本项目设备维护服务安排</w:t>
      </w:r>
      <w:r>
        <w:rPr>
          <w:rFonts w:hint="eastAsia" w:ascii="宋体" w:hAnsi="宋体" w:eastAsia="宋体" w:cs="宋体"/>
          <w:b w:val="0"/>
          <w:color w:val="000000"/>
          <w:kern w:val="28"/>
          <w:sz w:val="21"/>
          <w:szCs w:val="21"/>
          <w:lang w:val="en-US" w:eastAsia="zh-CN"/>
        </w:rPr>
        <w:t>非驻场项目经理1人，</w:t>
      </w:r>
      <w:r>
        <w:rPr>
          <w:rFonts w:hint="eastAsia" w:ascii="宋体" w:hAnsi="宋体" w:eastAsia="宋体" w:cs="宋体"/>
          <w:b w:val="0"/>
          <w:color w:val="000000"/>
          <w:kern w:val="28"/>
          <w:sz w:val="21"/>
          <w:szCs w:val="21"/>
          <w:lang w:val="en-US"/>
        </w:rPr>
        <w:t xml:space="preserve">驻场技术工程师 </w:t>
      </w:r>
      <w:r>
        <w:rPr>
          <w:rFonts w:hint="eastAsia" w:ascii="宋体" w:hAnsi="宋体" w:eastAsia="宋体" w:cs="宋体"/>
          <w:b w:val="0"/>
          <w:color w:val="000000"/>
          <w:kern w:val="28"/>
          <w:sz w:val="21"/>
          <w:szCs w:val="21"/>
          <w:lang w:val="en-US" w:eastAsia="zh-CN"/>
        </w:rPr>
        <w:t>5</w:t>
      </w:r>
      <w:r>
        <w:rPr>
          <w:rFonts w:hint="eastAsia" w:ascii="宋体" w:hAnsi="宋体" w:eastAsia="宋体" w:cs="宋体"/>
          <w:b w:val="0"/>
          <w:color w:val="000000"/>
          <w:kern w:val="28"/>
          <w:sz w:val="21"/>
          <w:szCs w:val="21"/>
          <w:lang w:val="en-US"/>
        </w:rPr>
        <w:t xml:space="preserve"> 人。驻场</w:t>
      </w:r>
      <w:r>
        <w:rPr>
          <w:rFonts w:hint="eastAsia" w:ascii="宋体" w:hAnsi="宋体" w:eastAsia="宋体" w:cs="宋体"/>
          <w:b w:val="0"/>
          <w:color w:val="000000"/>
          <w:kern w:val="28"/>
          <w:sz w:val="21"/>
          <w:szCs w:val="21"/>
          <w:lang w:val="en-US" w:eastAsia="zh-CN"/>
        </w:rPr>
        <w:t>技术</w:t>
      </w:r>
      <w:r>
        <w:rPr>
          <w:rFonts w:hint="eastAsia" w:ascii="宋体" w:hAnsi="宋体" w:eastAsia="宋体" w:cs="宋体"/>
          <w:b w:val="0"/>
          <w:color w:val="000000"/>
          <w:kern w:val="28"/>
          <w:sz w:val="21"/>
          <w:szCs w:val="21"/>
          <w:lang w:val="en-US"/>
        </w:rPr>
        <w:t>工程师需要实时响应</w:t>
      </w:r>
      <w:r>
        <w:rPr>
          <w:rFonts w:hint="eastAsia" w:ascii="宋体" w:hAnsi="宋体" w:eastAsia="宋体" w:cs="宋体"/>
          <w:b w:val="0"/>
          <w:color w:val="000000"/>
          <w:kern w:val="28"/>
          <w:sz w:val="21"/>
          <w:szCs w:val="21"/>
          <w:lang w:val="en-US" w:eastAsia="zh-CN"/>
        </w:rPr>
        <w:t>采购</w:t>
      </w:r>
      <w:r>
        <w:rPr>
          <w:rFonts w:hint="eastAsia" w:ascii="宋体" w:hAnsi="宋体" w:eastAsia="宋体" w:cs="宋体"/>
          <w:b w:val="0"/>
          <w:color w:val="000000"/>
          <w:kern w:val="28"/>
          <w:sz w:val="21"/>
          <w:szCs w:val="21"/>
          <w:lang w:val="en-US"/>
        </w:rPr>
        <w:t>人的服务请求，及时为</w:t>
      </w:r>
      <w:r>
        <w:rPr>
          <w:rFonts w:hint="eastAsia" w:ascii="宋体" w:hAnsi="宋体" w:eastAsia="宋体" w:cs="宋体"/>
          <w:b w:val="0"/>
          <w:color w:val="000000"/>
          <w:kern w:val="28"/>
          <w:sz w:val="21"/>
          <w:szCs w:val="21"/>
          <w:lang w:val="en-US" w:eastAsia="zh-CN"/>
        </w:rPr>
        <w:t>采购</w:t>
      </w:r>
      <w:r>
        <w:rPr>
          <w:rFonts w:hint="eastAsia" w:ascii="宋体" w:hAnsi="宋体" w:eastAsia="宋体" w:cs="宋体"/>
          <w:b w:val="0"/>
          <w:color w:val="000000"/>
          <w:kern w:val="28"/>
          <w:sz w:val="21"/>
          <w:szCs w:val="21"/>
          <w:lang w:val="en-US"/>
        </w:rPr>
        <w:t>人提供现场维护服务。</w:t>
      </w:r>
      <w:r>
        <w:rPr>
          <w:rFonts w:hint="eastAsia" w:ascii="宋体" w:hAnsi="宋体" w:eastAsia="宋体" w:cs="宋体"/>
          <w:b w:val="0"/>
          <w:color w:val="000000"/>
          <w:kern w:val="28"/>
          <w:sz w:val="21"/>
          <w:szCs w:val="21"/>
          <w:lang w:val="en-US" w:eastAsia="zh-CN"/>
        </w:rPr>
        <w:t>（更换人员要求：①达不到医院要求，需配合医院要求更换符合要求人员。②成交供应商人员离职导致的更换，需提前1个月告知并做好人员更换的方案并得到采购人同意。）</w:t>
      </w:r>
    </w:p>
    <w:p w14:paraId="5D837422">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color w:val="000000"/>
          <w:sz w:val="21"/>
          <w:szCs w:val="21"/>
        </w:rPr>
      </w:pPr>
      <w:r>
        <w:rPr>
          <w:rFonts w:hint="eastAsia" w:ascii="宋体" w:hAnsi="宋体" w:eastAsia="宋体" w:cs="宋体"/>
          <w:b/>
          <w:color w:val="000000"/>
          <w:sz w:val="21"/>
          <w:szCs w:val="21"/>
        </w:rPr>
        <w:t>人员岗位配置要求如下：</w:t>
      </w:r>
    </w:p>
    <w:tbl>
      <w:tblPr>
        <w:tblStyle w:val="7"/>
        <w:tblpPr w:leftFromText="180" w:rightFromText="180" w:vertAnchor="text" w:horzAnchor="margin" w:tblpY="186"/>
        <w:tblW w:w="9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6"/>
        <w:gridCol w:w="851"/>
        <w:gridCol w:w="797"/>
        <w:gridCol w:w="810"/>
        <w:gridCol w:w="6011"/>
      </w:tblGrid>
      <w:tr w14:paraId="729B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trPr>
        <w:tc>
          <w:tcPr>
            <w:tcW w:w="676" w:type="dxa"/>
            <w:noWrap w:val="0"/>
            <w:vAlign w:val="center"/>
          </w:tcPr>
          <w:p w14:paraId="4E8DB3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序号</w:t>
            </w:r>
          </w:p>
        </w:tc>
        <w:tc>
          <w:tcPr>
            <w:tcW w:w="851" w:type="dxa"/>
            <w:noWrap w:val="0"/>
            <w:vAlign w:val="center"/>
          </w:tcPr>
          <w:p w14:paraId="1F9670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岗位</w:t>
            </w:r>
          </w:p>
        </w:tc>
        <w:tc>
          <w:tcPr>
            <w:tcW w:w="797" w:type="dxa"/>
            <w:noWrap w:val="0"/>
            <w:vAlign w:val="center"/>
          </w:tcPr>
          <w:p w14:paraId="37C9DC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数量</w:t>
            </w:r>
          </w:p>
        </w:tc>
        <w:tc>
          <w:tcPr>
            <w:tcW w:w="810" w:type="dxa"/>
            <w:noWrap w:val="0"/>
            <w:vAlign w:val="center"/>
          </w:tcPr>
          <w:p w14:paraId="07EA74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是否</w:t>
            </w:r>
          </w:p>
          <w:p w14:paraId="6F853C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驻场</w:t>
            </w:r>
          </w:p>
        </w:tc>
        <w:tc>
          <w:tcPr>
            <w:tcW w:w="6011" w:type="dxa"/>
            <w:noWrap w:val="0"/>
            <w:vAlign w:val="center"/>
          </w:tcPr>
          <w:p w14:paraId="112994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服务内容</w:t>
            </w:r>
          </w:p>
        </w:tc>
      </w:tr>
      <w:tr w14:paraId="08CB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trPr>
        <w:tc>
          <w:tcPr>
            <w:tcW w:w="676" w:type="dxa"/>
            <w:noWrap w:val="0"/>
            <w:vAlign w:val="center"/>
          </w:tcPr>
          <w:p w14:paraId="0FAF5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1</w:t>
            </w:r>
          </w:p>
        </w:tc>
        <w:tc>
          <w:tcPr>
            <w:tcW w:w="851" w:type="dxa"/>
            <w:noWrap w:val="0"/>
            <w:vAlign w:val="center"/>
          </w:tcPr>
          <w:p w14:paraId="09AC21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项目经理</w:t>
            </w:r>
          </w:p>
        </w:tc>
        <w:tc>
          <w:tcPr>
            <w:tcW w:w="797" w:type="dxa"/>
            <w:noWrap w:val="0"/>
            <w:vAlign w:val="center"/>
          </w:tcPr>
          <w:p w14:paraId="296485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1人</w:t>
            </w:r>
          </w:p>
        </w:tc>
        <w:tc>
          <w:tcPr>
            <w:tcW w:w="810" w:type="dxa"/>
            <w:noWrap w:val="0"/>
            <w:vAlign w:val="center"/>
          </w:tcPr>
          <w:p w14:paraId="0D1AF1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val="en-US" w:eastAsia="zh-CN"/>
              </w:rPr>
              <w:t>非</w:t>
            </w:r>
            <w:r>
              <w:rPr>
                <w:rFonts w:hint="eastAsia" w:ascii="宋体" w:hAnsi="宋体" w:eastAsia="宋体" w:cs="宋体"/>
                <w:bCs/>
                <w:color w:val="000000"/>
                <w:kern w:val="28"/>
                <w:sz w:val="21"/>
                <w:szCs w:val="21"/>
                <w:lang w:eastAsia="en-US"/>
              </w:rPr>
              <w:t>驻场</w:t>
            </w:r>
          </w:p>
        </w:tc>
        <w:tc>
          <w:tcPr>
            <w:tcW w:w="6011" w:type="dxa"/>
            <w:noWrap w:val="0"/>
            <w:vAlign w:val="center"/>
          </w:tcPr>
          <w:p w14:paraId="0EBFBF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负责该项目的设计，实施、反馈、从事 5 年以上同类项目经验；</w:t>
            </w:r>
          </w:p>
          <w:p w14:paraId="72B8A8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2</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具有 ITIL 管理的培训证书与能力，具有管理信息系统集成和 IT 运维服务项目的经验；</w:t>
            </w:r>
          </w:p>
          <w:p w14:paraId="1BB948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3</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具有人力资源管理经验，有极强的劳动关系协调、沟通、理解和执行能力；</w:t>
            </w:r>
          </w:p>
          <w:p w14:paraId="5512C4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4</w:t>
            </w:r>
            <w:r>
              <w:rPr>
                <w:rFonts w:hint="eastAsia" w:ascii="宋体" w:hAnsi="宋体" w:eastAsia="宋体" w:cs="宋体"/>
                <w:bCs/>
                <w:color w:val="000000"/>
                <w:kern w:val="28"/>
                <w:sz w:val="21"/>
                <w:szCs w:val="21"/>
                <w:lang w:eastAsia="zh-CN"/>
              </w:rPr>
              <w:t>）作为</w:t>
            </w:r>
            <w:r>
              <w:rPr>
                <w:rFonts w:hint="eastAsia" w:ascii="宋体" w:hAnsi="宋体" w:eastAsia="宋体" w:cs="宋体"/>
                <w:bCs/>
                <w:color w:val="000000"/>
                <w:kern w:val="28"/>
                <w:sz w:val="21"/>
                <w:szCs w:val="21"/>
              </w:rPr>
              <w:t>项目的总负责人，负责与</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沟通驻场人员无法解决的问题，接受</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对驻场服务人员的投诉；</w:t>
            </w:r>
          </w:p>
          <w:p w14:paraId="244D88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5</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统筹安排驻场和场外服务人员的工作，部署和督促解决驻场人员无法解决的问题；</w:t>
            </w:r>
          </w:p>
        </w:tc>
      </w:tr>
      <w:tr w14:paraId="6FBA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trPr>
        <w:tc>
          <w:tcPr>
            <w:tcW w:w="676" w:type="dxa"/>
            <w:noWrap w:val="0"/>
            <w:vAlign w:val="center"/>
          </w:tcPr>
          <w:p w14:paraId="3285C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strike/>
                <w:dstrike w:val="0"/>
                <w:color w:val="000000"/>
                <w:kern w:val="28"/>
                <w:sz w:val="21"/>
                <w:szCs w:val="21"/>
                <w:lang w:eastAsia="en-US"/>
              </w:rPr>
            </w:pPr>
            <w:r>
              <w:rPr>
                <w:rFonts w:hint="eastAsia" w:ascii="宋体" w:hAnsi="宋体" w:eastAsia="宋体" w:cs="宋体"/>
                <w:bCs/>
                <w:strike w:val="0"/>
                <w:dstrike w:val="0"/>
                <w:color w:val="000000"/>
                <w:kern w:val="28"/>
                <w:sz w:val="21"/>
                <w:szCs w:val="21"/>
              </w:rPr>
              <w:t>2</w:t>
            </w:r>
          </w:p>
        </w:tc>
        <w:tc>
          <w:tcPr>
            <w:tcW w:w="851" w:type="dxa"/>
            <w:noWrap w:val="0"/>
            <w:vAlign w:val="center"/>
          </w:tcPr>
          <w:p w14:paraId="2E3090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strike/>
                <w:dstrike w:val="0"/>
                <w:color w:val="000000"/>
                <w:kern w:val="28"/>
                <w:sz w:val="21"/>
                <w:szCs w:val="21"/>
                <w:lang w:eastAsia="en-US"/>
              </w:rPr>
            </w:pPr>
            <w:r>
              <w:rPr>
                <w:rFonts w:hint="eastAsia" w:ascii="宋体" w:hAnsi="宋体" w:eastAsia="宋体" w:cs="宋体"/>
                <w:b w:val="0"/>
                <w:color w:val="000000"/>
                <w:kern w:val="28"/>
                <w:sz w:val="21"/>
                <w:szCs w:val="21"/>
                <w:lang w:val="en-US"/>
              </w:rPr>
              <w:t xml:space="preserve">技术工程师 </w:t>
            </w:r>
          </w:p>
        </w:tc>
        <w:tc>
          <w:tcPr>
            <w:tcW w:w="797" w:type="dxa"/>
            <w:noWrap w:val="0"/>
            <w:vAlign w:val="center"/>
          </w:tcPr>
          <w:p w14:paraId="4AE3DE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strike/>
                <w:dstrike w:val="0"/>
                <w:color w:val="000000"/>
                <w:kern w:val="28"/>
                <w:sz w:val="21"/>
                <w:szCs w:val="21"/>
                <w:lang w:eastAsia="en-US"/>
              </w:rPr>
            </w:pPr>
            <w:r>
              <w:rPr>
                <w:rFonts w:hint="eastAsia" w:ascii="宋体" w:hAnsi="宋体" w:eastAsia="宋体" w:cs="宋体"/>
                <w:bCs/>
                <w:strike w:val="0"/>
                <w:dstrike w:val="0"/>
                <w:color w:val="000000"/>
                <w:kern w:val="28"/>
                <w:sz w:val="21"/>
                <w:szCs w:val="21"/>
                <w:lang w:val="en-US" w:eastAsia="zh-CN"/>
              </w:rPr>
              <w:t>不少于5</w:t>
            </w:r>
            <w:r>
              <w:rPr>
                <w:rFonts w:hint="eastAsia" w:ascii="宋体" w:hAnsi="宋体" w:eastAsia="宋体" w:cs="宋体"/>
                <w:bCs/>
                <w:strike w:val="0"/>
                <w:dstrike w:val="0"/>
                <w:color w:val="000000"/>
                <w:kern w:val="28"/>
                <w:sz w:val="21"/>
                <w:szCs w:val="21"/>
              </w:rPr>
              <w:t>人</w:t>
            </w:r>
          </w:p>
        </w:tc>
        <w:tc>
          <w:tcPr>
            <w:tcW w:w="810" w:type="dxa"/>
            <w:noWrap w:val="0"/>
            <w:vAlign w:val="center"/>
          </w:tcPr>
          <w:p w14:paraId="72C220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bCs/>
                <w:strike w:val="0"/>
                <w:dstrike w:val="0"/>
                <w:color w:val="000000"/>
                <w:kern w:val="28"/>
                <w:sz w:val="21"/>
                <w:szCs w:val="21"/>
                <w:lang w:val="en-US" w:eastAsia="zh-CN"/>
              </w:rPr>
            </w:pPr>
            <w:r>
              <w:rPr>
                <w:rFonts w:hint="eastAsia" w:ascii="宋体" w:hAnsi="宋体" w:eastAsia="宋体" w:cs="宋体"/>
                <w:bCs/>
                <w:strike w:val="0"/>
                <w:dstrike w:val="0"/>
                <w:color w:val="000000"/>
                <w:kern w:val="28"/>
                <w:sz w:val="21"/>
                <w:szCs w:val="21"/>
                <w:lang w:val="en-US" w:eastAsia="zh-CN"/>
              </w:rPr>
              <w:t>完全驻场</w:t>
            </w:r>
          </w:p>
        </w:tc>
        <w:tc>
          <w:tcPr>
            <w:tcW w:w="6011" w:type="dxa"/>
            <w:noWrap w:val="0"/>
            <w:vAlign w:val="center"/>
          </w:tcPr>
          <w:p w14:paraId="2C28BE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w:t>
            </w:r>
            <w:r>
              <w:rPr>
                <w:rFonts w:hint="eastAsia" w:ascii="宋体" w:hAnsi="宋体" w:eastAsia="宋体" w:cs="宋体"/>
                <w:bCs/>
                <w:color w:val="000000"/>
                <w:kern w:val="28"/>
                <w:sz w:val="21"/>
                <w:szCs w:val="21"/>
                <w:lang w:eastAsia="zh-CN"/>
              </w:rPr>
              <w:t>）</w:t>
            </w:r>
            <w:r>
              <w:rPr>
                <w:rFonts w:hint="eastAsia" w:ascii="宋体" w:hAnsi="宋体" w:eastAsia="宋体" w:cs="宋体"/>
                <w:bCs/>
                <w:strike w:val="0"/>
                <w:dstrike w:val="0"/>
                <w:color w:val="000000"/>
                <w:kern w:val="28"/>
                <w:sz w:val="21"/>
                <w:szCs w:val="21"/>
              </w:rPr>
              <w:t>负责</w:t>
            </w:r>
            <w:r>
              <w:rPr>
                <w:rFonts w:hint="eastAsia" w:ascii="宋体" w:hAnsi="宋体" w:eastAsia="宋体" w:cs="宋体"/>
                <w:bCs/>
                <w:strike w:val="0"/>
                <w:dstrike w:val="0"/>
                <w:color w:val="000000"/>
                <w:kern w:val="28"/>
                <w:sz w:val="21"/>
                <w:szCs w:val="21"/>
                <w:lang w:eastAsia="zh-CN"/>
              </w:rPr>
              <w:t>采购人</w:t>
            </w:r>
            <w:r>
              <w:rPr>
                <w:rFonts w:hint="eastAsia" w:ascii="宋体" w:hAnsi="宋体" w:eastAsia="宋体" w:cs="宋体"/>
                <w:bCs/>
                <w:strike w:val="0"/>
                <w:dstrike w:val="0"/>
                <w:color w:val="000000"/>
                <w:kern w:val="28"/>
                <w:sz w:val="21"/>
                <w:szCs w:val="21"/>
              </w:rPr>
              <w:t>IT负责处理信息科日常请求单、资产管理事宜，要求普通话标准，具有基本客户服务沟通技巧、沟通能力和理解能力，工作细致、耐心，建立一体化IT运维服务体系的重要组成部分，通过组建专业的IT服务团队，可以实现服务调度规范化和标准化，提高客户服务满意度；</w:t>
            </w:r>
            <w:r>
              <w:rPr>
                <w:rFonts w:hint="eastAsia" w:ascii="宋体" w:hAnsi="宋体" w:eastAsia="宋体" w:cs="宋体"/>
                <w:bCs/>
                <w:color w:val="000000"/>
                <w:kern w:val="28"/>
                <w:sz w:val="21"/>
                <w:szCs w:val="21"/>
              </w:rPr>
              <w:t>接听用户电话,做好电话接听记录,并及时进行任务分发，做事认真负责，敢于担当，良好的团队协调能力，负责接收各类报障信息，查询跟踪服务处理进度，确保服务时效和服务质量。提升信息科整体IT运维服务质量，实现IT运维及服务的集中管控；实现对全局IT运维环境、设备的在线集中监控和管理；</w:t>
            </w:r>
          </w:p>
          <w:p w14:paraId="143D65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2</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通过主动式服务，保证服务质量，提高用户满意度；通过驻场服务，保障基础架构出现故障时能够及时恢复。</w:t>
            </w:r>
          </w:p>
          <w:p w14:paraId="328801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3</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负责</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 xml:space="preserve"> IT 设备硬件和软件维护服务工作，协调</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的信息化建设，保证 IT 设备正常运作；</w:t>
            </w:r>
          </w:p>
          <w:p w14:paraId="28231F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4</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保证硬件如：电脑、网络、安全设备等设备，以及办公室电脑以及软件系统、杀毒软件等正常使用，主动向</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汇报运作情况；</w:t>
            </w:r>
          </w:p>
          <w:p w14:paraId="137604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5</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负责终端设备的巡检工作；</w:t>
            </w:r>
          </w:p>
          <w:p w14:paraId="62F44D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6</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按规定完成服务记录并填写各类报告文档；</w:t>
            </w:r>
          </w:p>
          <w:p w14:paraId="2C8FE713">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7</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完成客户和项目经理下达的其他任务</w:t>
            </w:r>
            <w:r>
              <w:rPr>
                <w:rFonts w:hint="eastAsia" w:ascii="宋体" w:hAnsi="宋体" w:eastAsia="宋体" w:cs="宋体"/>
                <w:bCs/>
                <w:color w:val="000000"/>
                <w:kern w:val="28"/>
                <w:sz w:val="21"/>
                <w:szCs w:val="21"/>
                <w:lang w:eastAsia="zh-CN"/>
              </w:rPr>
              <w:t>；</w:t>
            </w:r>
          </w:p>
          <w:p w14:paraId="700F70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8</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数据备份巡检及处置。</w:t>
            </w:r>
          </w:p>
          <w:p w14:paraId="6F40A8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9</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态势感知、防火墙巡检及处置；</w:t>
            </w:r>
          </w:p>
          <w:p w14:paraId="59678E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10</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Vmware巡检及处置；</w:t>
            </w:r>
          </w:p>
          <w:p w14:paraId="257A02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11</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操作间值班；</w:t>
            </w:r>
          </w:p>
          <w:p w14:paraId="05C57F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12</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安全巡检周报；</w:t>
            </w:r>
          </w:p>
          <w:p w14:paraId="11E3B9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13</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信息网络安全。</w:t>
            </w:r>
          </w:p>
        </w:tc>
      </w:tr>
      <w:tr w14:paraId="75CE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trPr>
        <w:tc>
          <w:tcPr>
            <w:tcW w:w="676" w:type="dxa"/>
            <w:noWrap w:val="0"/>
            <w:vAlign w:val="center"/>
          </w:tcPr>
          <w:p w14:paraId="48D2A8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lang w:val="en-US" w:eastAsia="zh-CN"/>
              </w:rPr>
              <w:t>3</w:t>
            </w:r>
          </w:p>
        </w:tc>
        <w:tc>
          <w:tcPr>
            <w:tcW w:w="851" w:type="dxa"/>
            <w:noWrap w:val="0"/>
            <w:vAlign w:val="center"/>
          </w:tcPr>
          <w:p w14:paraId="2420FF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应急工</w:t>
            </w:r>
          </w:p>
          <w:p w14:paraId="1AC0F2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程师</w:t>
            </w:r>
          </w:p>
        </w:tc>
        <w:tc>
          <w:tcPr>
            <w:tcW w:w="797" w:type="dxa"/>
            <w:noWrap w:val="0"/>
            <w:vAlign w:val="center"/>
          </w:tcPr>
          <w:p w14:paraId="0E2BDE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不少于</w:t>
            </w:r>
            <w:r>
              <w:rPr>
                <w:rFonts w:hint="eastAsia" w:ascii="宋体" w:hAnsi="宋体" w:eastAsia="宋体" w:cs="宋体"/>
                <w:bCs/>
                <w:color w:val="000000"/>
                <w:kern w:val="28"/>
                <w:sz w:val="21"/>
                <w:szCs w:val="21"/>
              </w:rPr>
              <w:t>2</w:t>
            </w:r>
            <w:r>
              <w:rPr>
                <w:rFonts w:hint="eastAsia" w:ascii="宋体" w:hAnsi="宋体" w:eastAsia="宋体" w:cs="宋体"/>
                <w:bCs/>
                <w:color w:val="000000"/>
                <w:kern w:val="28"/>
                <w:sz w:val="21"/>
                <w:szCs w:val="21"/>
                <w:lang w:eastAsia="en-US"/>
              </w:rPr>
              <w:t xml:space="preserve"> 人</w:t>
            </w:r>
          </w:p>
        </w:tc>
        <w:tc>
          <w:tcPr>
            <w:tcW w:w="810" w:type="dxa"/>
            <w:noWrap w:val="0"/>
            <w:vAlign w:val="center"/>
          </w:tcPr>
          <w:p w14:paraId="179DF6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非驻场</w:t>
            </w:r>
          </w:p>
        </w:tc>
        <w:tc>
          <w:tcPr>
            <w:tcW w:w="6011" w:type="dxa"/>
            <w:noWrap w:val="0"/>
            <w:vAlign w:val="center"/>
          </w:tcPr>
          <w:p w14:paraId="0298CA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作为常驻人员的有机补充，在计算机软硬件故障处理等方面无法达到项目要求时，非常驻人员需到现场协助解决。</w:t>
            </w:r>
          </w:p>
        </w:tc>
      </w:tr>
      <w:tr w14:paraId="35011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8" w:hRule="atLeast"/>
        </w:trPr>
        <w:tc>
          <w:tcPr>
            <w:tcW w:w="676" w:type="dxa"/>
            <w:noWrap w:val="0"/>
            <w:vAlign w:val="center"/>
          </w:tcPr>
          <w:p w14:paraId="044B7A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lang w:val="en-US" w:eastAsia="zh-CN"/>
              </w:rPr>
              <w:t>4</w:t>
            </w:r>
          </w:p>
        </w:tc>
        <w:tc>
          <w:tcPr>
            <w:tcW w:w="851" w:type="dxa"/>
            <w:noWrap w:val="0"/>
            <w:vAlign w:val="center"/>
          </w:tcPr>
          <w:p w14:paraId="44ABBF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rPr>
              <w:t>安全服务团队</w:t>
            </w:r>
          </w:p>
        </w:tc>
        <w:tc>
          <w:tcPr>
            <w:tcW w:w="797" w:type="dxa"/>
            <w:noWrap w:val="0"/>
            <w:vAlign w:val="center"/>
          </w:tcPr>
          <w:p w14:paraId="617DD4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rPr>
              <w:t>不少于4人</w:t>
            </w:r>
          </w:p>
        </w:tc>
        <w:tc>
          <w:tcPr>
            <w:tcW w:w="810" w:type="dxa"/>
            <w:noWrap w:val="0"/>
            <w:vAlign w:val="center"/>
          </w:tcPr>
          <w:p w14:paraId="79A78E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rPr>
              <w:t>非驻场</w:t>
            </w:r>
          </w:p>
        </w:tc>
        <w:tc>
          <w:tcPr>
            <w:tcW w:w="6011" w:type="dxa"/>
            <w:noWrap w:val="0"/>
            <w:vAlign w:val="center"/>
          </w:tcPr>
          <w:p w14:paraId="6C0153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作为常驻人员的有机补充，在应急故障或者大范围故障出现时，驻场工程师数量不足的情况下，应急技术人员需作为驻场人员的后备补充，及时到现场协助解决。</w:t>
            </w:r>
          </w:p>
        </w:tc>
      </w:tr>
    </w:tbl>
    <w:p w14:paraId="7C8CBF17">
      <w:pPr>
        <w:pStyle w:val="13"/>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eastAsia="zh-CN"/>
        </w:rPr>
        <w:t>（4）</w:t>
      </w:r>
      <w:r>
        <w:rPr>
          <w:rFonts w:hint="eastAsia" w:ascii="宋体" w:hAnsi="宋体" w:eastAsia="宋体" w:cs="宋体"/>
          <w:b w:val="0"/>
          <w:color w:val="000000"/>
          <w:kern w:val="28"/>
          <w:sz w:val="21"/>
          <w:szCs w:val="21"/>
          <w:lang w:val="en-US"/>
        </w:rPr>
        <w:t>驻场人员要求具有计算机相关</w:t>
      </w:r>
      <w:r>
        <w:rPr>
          <w:rFonts w:hint="eastAsia" w:ascii="宋体" w:hAnsi="宋体" w:eastAsia="宋体" w:cs="宋体"/>
          <w:b w:val="0"/>
          <w:color w:val="000000"/>
          <w:kern w:val="28"/>
          <w:sz w:val="21"/>
          <w:szCs w:val="21"/>
          <w:lang w:val="en-US" w:eastAsia="zh-CN"/>
        </w:rPr>
        <w:t>专业</w:t>
      </w:r>
      <w:r>
        <w:rPr>
          <w:rFonts w:hint="eastAsia" w:ascii="宋体" w:hAnsi="宋体" w:eastAsia="宋体" w:cs="宋体"/>
          <w:b w:val="0"/>
          <w:color w:val="000000"/>
          <w:kern w:val="28"/>
          <w:sz w:val="21"/>
          <w:szCs w:val="21"/>
          <w:lang w:val="en-US"/>
        </w:rPr>
        <w:t>大专以上学历或同类项目一年以上计算机服务经验。</w:t>
      </w:r>
    </w:p>
    <w:p w14:paraId="6847CC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2</w:t>
      </w:r>
      <w:r>
        <w:rPr>
          <w:rFonts w:hint="eastAsia" w:ascii="宋体" w:hAnsi="宋体" w:eastAsia="宋体" w:cs="宋体"/>
          <w:b/>
          <w:bCs/>
          <w:color w:val="000000"/>
          <w:kern w:val="28"/>
          <w:sz w:val="21"/>
          <w:szCs w:val="21"/>
        </w:rPr>
        <w:t>.运维服务方案</w:t>
      </w:r>
    </w:p>
    <w:p w14:paraId="6A094A5E">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w:t>
      </w:r>
      <w:r>
        <w:rPr>
          <w:rFonts w:hint="eastAsia" w:ascii="宋体" w:hAnsi="宋体" w:eastAsia="宋体" w:cs="宋体"/>
          <w:sz w:val="21"/>
          <w:szCs w:val="21"/>
          <w:lang w:eastAsia="zh-CN"/>
        </w:rPr>
        <w:t>成交供应商</w:t>
      </w:r>
      <w:r>
        <w:rPr>
          <w:rFonts w:hint="eastAsia" w:ascii="宋体" w:hAnsi="宋体" w:eastAsia="宋体" w:cs="宋体"/>
          <w:b w:val="0"/>
          <w:color w:val="000000"/>
          <w:kern w:val="28"/>
          <w:sz w:val="21"/>
          <w:szCs w:val="21"/>
          <w:lang w:val="en-US"/>
        </w:rPr>
        <w:t>需针对中山市人民医院的计算机设备情况提出合理、可行的运维方案。</w:t>
      </w:r>
    </w:p>
    <w:p w14:paraId="7D837716">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（1）相关设备维护及保养方案；</w:t>
      </w:r>
    </w:p>
    <w:p w14:paraId="5D9A51A7">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（2）突发或临时的院方信息化相关工作的服务支撑方案；</w:t>
      </w:r>
    </w:p>
    <w:p w14:paraId="1E4ED746">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strike w:val="0"/>
          <w:dstrike w:val="0"/>
          <w:color w:val="000000"/>
          <w:kern w:val="28"/>
          <w:sz w:val="21"/>
          <w:szCs w:val="21"/>
          <w:lang w:val="en-US"/>
        </w:rPr>
      </w:pPr>
      <w:r>
        <w:rPr>
          <w:rFonts w:hint="eastAsia" w:ascii="宋体" w:hAnsi="宋体" w:eastAsia="宋体" w:cs="宋体"/>
          <w:b w:val="0"/>
          <w:strike w:val="0"/>
          <w:dstrike w:val="0"/>
          <w:color w:val="000000"/>
          <w:kern w:val="28"/>
          <w:sz w:val="21"/>
          <w:szCs w:val="21"/>
          <w:lang w:val="en-US"/>
        </w:rPr>
        <w:t>（3）</w:t>
      </w:r>
      <w:r>
        <w:rPr>
          <w:rFonts w:hint="eastAsia" w:ascii="宋体" w:hAnsi="宋体" w:eastAsia="宋体" w:cs="宋体"/>
          <w:b w:val="0"/>
          <w:strike w:val="0"/>
          <w:dstrike w:val="0"/>
          <w:color w:val="000000"/>
          <w:kern w:val="28"/>
          <w:sz w:val="21"/>
          <w:szCs w:val="21"/>
          <w:lang w:val="en-US" w:eastAsia="zh-CN"/>
        </w:rPr>
        <w:t>协助</w:t>
      </w:r>
      <w:r>
        <w:rPr>
          <w:rFonts w:hint="eastAsia" w:ascii="宋体" w:hAnsi="宋体" w:eastAsia="宋体" w:cs="宋体"/>
          <w:b w:val="0"/>
          <w:strike w:val="0"/>
          <w:dstrike w:val="0"/>
          <w:color w:val="000000"/>
          <w:kern w:val="28"/>
          <w:sz w:val="21"/>
          <w:szCs w:val="21"/>
          <w:lang w:val="en-US"/>
        </w:rPr>
        <w:t>资产盘点</w:t>
      </w:r>
    </w:p>
    <w:p w14:paraId="4CDA5A6B">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（4）服务响应；</w:t>
      </w:r>
    </w:p>
    <w:p w14:paraId="0E34CDA8">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（5）人员配置。</w:t>
      </w:r>
    </w:p>
    <w:p w14:paraId="7685307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3</w:t>
      </w:r>
      <w:r>
        <w:rPr>
          <w:rFonts w:hint="eastAsia" w:ascii="宋体" w:hAnsi="宋体" w:eastAsia="宋体" w:cs="宋体"/>
          <w:b/>
          <w:bCs/>
          <w:color w:val="000000"/>
          <w:kern w:val="28"/>
          <w:sz w:val="21"/>
          <w:szCs w:val="21"/>
        </w:rPr>
        <w:t>.维护人员上门服务规范要求</w:t>
      </w:r>
    </w:p>
    <w:p w14:paraId="224ED3AC">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（1）维护人员衣着要整洁，佩戴胸卡，使用礼貌用语，不准使用服务禁语；</w:t>
      </w:r>
    </w:p>
    <w:p w14:paraId="086C2B34">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（2）现场服务时，严格遵守医院内部各项规章制度，与</w:t>
      </w:r>
      <w:r>
        <w:rPr>
          <w:rFonts w:hint="eastAsia" w:ascii="宋体" w:hAnsi="宋体" w:eastAsia="宋体" w:cs="宋体"/>
          <w:b w:val="0"/>
          <w:color w:val="000000"/>
          <w:kern w:val="28"/>
          <w:sz w:val="21"/>
          <w:szCs w:val="21"/>
          <w:lang w:val="en-US" w:eastAsia="zh-CN"/>
        </w:rPr>
        <w:t>采购</w:t>
      </w:r>
      <w:r>
        <w:rPr>
          <w:rFonts w:hint="eastAsia" w:ascii="宋体" w:hAnsi="宋体" w:eastAsia="宋体" w:cs="宋体"/>
          <w:b w:val="0"/>
          <w:color w:val="000000"/>
          <w:kern w:val="28"/>
          <w:sz w:val="21"/>
          <w:szCs w:val="21"/>
          <w:lang w:val="en-US"/>
        </w:rPr>
        <w:t>人相关人员充分沟通，态度诚恳地解答</w:t>
      </w:r>
      <w:r>
        <w:rPr>
          <w:rFonts w:hint="eastAsia" w:ascii="宋体" w:hAnsi="宋体" w:eastAsia="宋体" w:cs="宋体"/>
          <w:b w:val="0"/>
          <w:color w:val="000000"/>
          <w:kern w:val="28"/>
          <w:sz w:val="21"/>
          <w:szCs w:val="21"/>
          <w:lang w:val="en-US" w:eastAsia="zh-CN"/>
        </w:rPr>
        <w:t>采购人</w:t>
      </w:r>
      <w:r>
        <w:rPr>
          <w:rFonts w:hint="eastAsia" w:ascii="宋体" w:hAnsi="宋体" w:eastAsia="宋体" w:cs="宋体"/>
          <w:b w:val="0"/>
          <w:color w:val="000000"/>
          <w:kern w:val="28"/>
          <w:sz w:val="21"/>
          <w:szCs w:val="21"/>
          <w:lang w:val="en-US"/>
        </w:rPr>
        <w:t>提出的相关问题；</w:t>
      </w:r>
    </w:p>
    <w:p w14:paraId="6B7AE758">
      <w:pPr>
        <w:pStyle w:val="1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b w:val="0"/>
          <w:color w:val="000000"/>
          <w:kern w:val="28"/>
          <w:sz w:val="21"/>
          <w:szCs w:val="21"/>
          <w:lang w:val="en-US"/>
        </w:rPr>
      </w:pPr>
      <w:r>
        <w:rPr>
          <w:rFonts w:hint="eastAsia" w:ascii="宋体" w:hAnsi="宋体" w:eastAsia="宋体" w:cs="宋体"/>
          <w:b w:val="0"/>
          <w:color w:val="000000"/>
          <w:kern w:val="28"/>
          <w:sz w:val="21"/>
          <w:szCs w:val="21"/>
          <w:lang w:val="en-US"/>
        </w:rPr>
        <w:t>（3）尊重</w:t>
      </w:r>
      <w:r>
        <w:rPr>
          <w:rFonts w:hint="eastAsia" w:ascii="宋体" w:hAnsi="宋体" w:eastAsia="宋体" w:cs="宋体"/>
          <w:b w:val="0"/>
          <w:color w:val="000000"/>
          <w:kern w:val="28"/>
          <w:sz w:val="21"/>
          <w:szCs w:val="21"/>
          <w:lang w:val="en-US" w:eastAsia="zh-CN"/>
        </w:rPr>
        <w:t>采购</w:t>
      </w:r>
      <w:r>
        <w:rPr>
          <w:rFonts w:hint="eastAsia" w:ascii="宋体" w:hAnsi="宋体" w:eastAsia="宋体" w:cs="宋体"/>
          <w:b w:val="0"/>
          <w:color w:val="000000"/>
          <w:kern w:val="28"/>
          <w:sz w:val="21"/>
          <w:szCs w:val="21"/>
          <w:lang w:val="en-US"/>
        </w:rPr>
        <w:t>人个人隐私，保守医院商业秘密。</w:t>
      </w:r>
    </w:p>
    <w:p w14:paraId="59DF2B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lang w:eastAsia="zh-CN"/>
        </w:rPr>
      </w:pPr>
      <w:r>
        <w:rPr>
          <w:rFonts w:hint="eastAsia" w:ascii="宋体" w:hAnsi="宋体" w:eastAsia="宋体" w:cs="宋体"/>
          <w:b/>
          <w:bCs/>
          <w:color w:val="000000"/>
          <w:kern w:val="28"/>
          <w:sz w:val="21"/>
          <w:szCs w:val="21"/>
        </w:rPr>
        <w:t>▲</w:t>
      </w:r>
      <w:r>
        <w:rPr>
          <w:rFonts w:hint="eastAsia" w:ascii="宋体" w:hAnsi="宋体" w:eastAsia="宋体" w:cs="宋体"/>
          <w:b/>
          <w:bCs/>
          <w:color w:val="000000"/>
          <w:kern w:val="28"/>
          <w:sz w:val="21"/>
          <w:szCs w:val="21"/>
          <w:lang w:val="en-US" w:eastAsia="zh-CN"/>
        </w:rPr>
        <w:t>4</w:t>
      </w:r>
      <w:r>
        <w:rPr>
          <w:rFonts w:hint="eastAsia" w:ascii="宋体" w:hAnsi="宋体" w:eastAsia="宋体" w:cs="宋体"/>
          <w:b/>
          <w:bCs/>
          <w:color w:val="000000"/>
          <w:kern w:val="28"/>
          <w:sz w:val="21"/>
          <w:szCs w:val="21"/>
        </w:rPr>
        <w:t>.</w:t>
      </w:r>
      <w:r>
        <w:rPr>
          <w:rFonts w:hint="eastAsia" w:ascii="宋体" w:hAnsi="宋体" w:eastAsia="宋体" w:cs="宋体"/>
          <w:b/>
          <w:bCs/>
          <w:color w:val="000000"/>
          <w:kern w:val="28"/>
          <w:sz w:val="21"/>
          <w:szCs w:val="21"/>
          <w:lang w:eastAsia="zh-CN"/>
        </w:rPr>
        <w:t>服务</w:t>
      </w:r>
      <w:r>
        <w:rPr>
          <w:rFonts w:hint="eastAsia" w:ascii="宋体" w:hAnsi="宋体" w:eastAsia="宋体" w:cs="宋体"/>
          <w:b/>
          <w:bCs/>
          <w:color w:val="000000"/>
          <w:kern w:val="28"/>
          <w:sz w:val="21"/>
          <w:szCs w:val="21"/>
        </w:rPr>
        <w:t>时间</w:t>
      </w:r>
      <w:r>
        <w:rPr>
          <w:rFonts w:hint="eastAsia" w:ascii="宋体" w:hAnsi="宋体" w:eastAsia="宋体" w:cs="宋体"/>
          <w:b/>
          <w:bCs/>
          <w:color w:val="000000"/>
          <w:kern w:val="28"/>
          <w:sz w:val="21"/>
          <w:szCs w:val="21"/>
          <w:lang w:eastAsia="zh-CN"/>
        </w:rPr>
        <w:t>要求</w:t>
      </w:r>
    </w:p>
    <w:p w14:paraId="25B2A8C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结合医院实际情况</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 xml:space="preserve">桌面信息终端维护服务采用 </w:t>
      </w:r>
      <w:r>
        <w:rPr>
          <w:rFonts w:hint="eastAsia" w:ascii="宋体" w:hAnsi="宋体" w:eastAsia="宋体" w:cs="宋体"/>
          <w:bCs/>
          <w:color w:val="000000"/>
          <w:kern w:val="28"/>
          <w:sz w:val="21"/>
          <w:szCs w:val="21"/>
          <w:lang w:val="en-US" w:eastAsia="zh-CN"/>
        </w:rPr>
        <w:t>7</w:t>
      </w:r>
      <w:r>
        <w:rPr>
          <w:rFonts w:hint="default" w:ascii="Arial" w:hAnsi="Arial" w:eastAsia="宋体" w:cs="Arial"/>
          <w:bCs/>
          <w:color w:val="000000"/>
          <w:kern w:val="28"/>
          <w:sz w:val="21"/>
          <w:szCs w:val="21"/>
        </w:rPr>
        <w:t>×</w:t>
      </w:r>
      <w:r>
        <w:rPr>
          <w:rFonts w:hint="eastAsia" w:ascii="宋体" w:hAnsi="宋体" w:eastAsia="宋体" w:cs="宋体"/>
          <w:bCs/>
          <w:color w:val="000000"/>
          <w:kern w:val="28"/>
          <w:sz w:val="21"/>
          <w:szCs w:val="21"/>
        </w:rPr>
        <w:t>8 小时响应模式，具体服务时间及人员安排要求如下</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合同履行期间，采购人有权根据实际情况调整服务时间</w:t>
      </w:r>
      <w:r>
        <w:rPr>
          <w:rFonts w:hint="eastAsia" w:ascii="宋体" w:hAnsi="宋体" w:eastAsia="宋体" w:cs="宋体"/>
          <w:bCs/>
          <w:color w:val="000000"/>
          <w:kern w:val="28"/>
          <w:sz w:val="21"/>
          <w:szCs w:val="21"/>
        </w:rPr>
        <w:t>：</w:t>
      </w:r>
    </w:p>
    <w:tbl>
      <w:tblPr>
        <w:tblStyle w:val="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8"/>
        <w:gridCol w:w="1760"/>
        <w:gridCol w:w="6458"/>
      </w:tblGrid>
      <w:tr w14:paraId="583F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18" w:type="dxa"/>
            <w:noWrap w:val="0"/>
            <w:vAlign w:val="center"/>
          </w:tcPr>
          <w:p w14:paraId="3803A63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序号</w:t>
            </w:r>
          </w:p>
        </w:tc>
        <w:tc>
          <w:tcPr>
            <w:tcW w:w="1760" w:type="dxa"/>
            <w:noWrap w:val="0"/>
            <w:vAlign w:val="center"/>
          </w:tcPr>
          <w:p w14:paraId="0D732DD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工作时间</w:t>
            </w:r>
          </w:p>
        </w:tc>
        <w:tc>
          <w:tcPr>
            <w:tcW w:w="6458" w:type="dxa"/>
            <w:noWrap w:val="0"/>
            <w:vAlign w:val="center"/>
          </w:tcPr>
          <w:p w14:paraId="592E47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要求</w:t>
            </w:r>
          </w:p>
        </w:tc>
      </w:tr>
      <w:tr w14:paraId="16E08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718" w:type="dxa"/>
            <w:noWrap w:val="0"/>
            <w:vAlign w:val="center"/>
          </w:tcPr>
          <w:p w14:paraId="6FE27F8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1</w:t>
            </w:r>
          </w:p>
        </w:tc>
        <w:tc>
          <w:tcPr>
            <w:tcW w:w="1760" w:type="dxa"/>
            <w:noWrap w:val="0"/>
            <w:vAlign w:val="center"/>
          </w:tcPr>
          <w:p w14:paraId="73E1A22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工作日（周一至周五）</w:t>
            </w:r>
          </w:p>
        </w:tc>
        <w:tc>
          <w:tcPr>
            <w:tcW w:w="6458" w:type="dxa"/>
            <w:noWrap w:val="0"/>
            <w:vAlign w:val="center"/>
          </w:tcPr>
          <w:p w14:paraId="53925C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default"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eastAsia="zh-CN"/>
              </w:rPr>
              <w:t>驻</w:t>
            </w:r>
            <w:r>
              <w:rPr>
                <w:rFonts w:hint="eastAsia" w:ascii="宋体" w:hAnsi="宋体" w:eastAsia="宋体" w:cs="宋体"/>
                <w:bCs/>
                <w:color w:val="000000"/>
                <w:kern w:val="28"/>
                <w:sz w:val="21"/>
                <w:szCs w:val="21"/>
              </w:rPr>
              <w:t>场人员不少于</w:t>
            </w:r>
            <w:r>
              <w:rPr>
                <w:rFonts w:hint="eastAsia" w:ascii="宋体" w:hAnsi="宋体" w:eastAsia="宋体" w:cs="宋体"/>
                <w:bCs/>
                <w:color w:val="000000"/>
                <w:kern w:val="28"/>
                <w:sz w:val="21"/>
                <w:szCs w:val="21"/>
                <w:lang w:val="en-US" w:eastAsia="zh-CN"/>
              </w:rPr>
              <w:t>5</w:t>
            </w:r>
            <w:r>
              <w:rPr>
                <w:rFonts w:hint="eastAsia" w:ascii="宋体" w:hAnsi="宋体" w:eastAsia="宋体" w:cs="宋体"/>
                <w:bCs/>
                <w:color w:val="000000"/>
                <w:kern w:val="28"/>
                <w:sz w:val="21"/>
                <w:szCs w:val="21"/>
              </w:rPr>
              <w:t>名，</w:t>
            </w:r>
            <w:r>
              <w:rPr>
                <w:rFonts w:hint="eastAsia" w:ascii="宋体" w:hAnsi="宋体" w:eastAsia="宋体" w:cs="宋体"/>
                <w:bCs/>
                <w:color w:val="000000"/>
                <w:kern w:val="28"/>
                <w:sz w:val="21"/>
                <w:szCs w:val="21"/>
                <w:lang w:val="en-US" w:eastAsia="zh-CN"/>
              </w:rPr>
              <w:t>医院工作</w:t>
            </w:r>
            <w:r>
              <w:rPr>
                <w:rFonts w:hint="eastAsia" w:ascii="宋体" w:hAnsi="宋体" w:eastAsia="宋体" w:cs="宋体"/>
                <w:bCs/>
                <w:color w:val="000000"/>
                <w:kern w:val="28"/>
                <w:sz w:val="21"/>
                <w:szCs w:val="21"/>
              </w:rPr>
              <w:t>时间</w:t>
            </w:r>
            <w:r>
              <w:rPr>
                <w:rFonts w:hint="eastAsia" w:ascii="宋体" w:hAnsi="宋体" w:eastAsia="宋体" w:cs="宋体"/>
                <w:bCs/>
                <w:color w:val="000000"/>
                <w:kern w:val="28"/>
                <w:sz w:val="21"/>
                <w:szCs w:val="21"/>
                <w:lang w:val="en-US" w:eastAsia="zh-CN"/>
              </w:rPr>
              <w:t>为</w:t>
            </w:r>
            <w:r>
              <w:rPr>
                <w:rFonts w:hint="eastAsia" w:ascii="宋体" w:hAnsi="宋体" w:eastAsia="宋体" w:cs="宋体"/>
                <w:bCs/>
                <w:color w:val="000000"/>
                <w:kern w:val="28"/>
                <w:sz w:val="21"/>
                <w:szCs w:val="21"/>
              </w:rPr>
              <w:t>上午 8:00~17：30；</w:t>
            </w:r>
            <w:r>
              <w:rPr>
                <w:rFonts w:hint="eastAsia" w:ascii="宋体" w:hAnsi="宋体" w:eastAsia="宋体" w:cs="宋体"/>
                <w:bCs/>
                <w:color w:val="000000"/>
                <w:kern w:val="28"/>
                <w:sz w:val="21"/>
                <w:szCs w:val="21"/>
                <w:lang w:val="en-US" w:eastAsia="zh-CN"/>
              </w:rPr>
              <w:t>成交供应商须配合采购人工作时间。</w:t>
            </w:r>
          </w:p>
          <w:p w14:paraId="6E4163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 xml:space="preserve">在 </w:t>
            </w:r>
            <w:r>
              <w:rPr>
                <w:rFonts w:hint="eastAsia" w:ascii="宋体" w:hAnsi="宋体" w:eastAsia="宋体" w:cs="宋体"/>
                <w:bCs/>
                <w:color w:val="000000"/>
                <w:kern w:val="28"/>
                <w:sz w:val="21"/>
                <w:szCs w:val="21"/>
                <w:lang w:val="en-US" w:eastAsia="zh-CN"/>
              </w:rPr>
              <w:t>7</w:t>
            </w: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val="en-US" w:eastAsia="zh-CN"/>
              </w:rPr>
              <w:t>3</w:t>
            </w:r>
            <w:r>
              <w:rPr>
                <w:rFonts w:hint="eastAsia" w:ascii="宋体" w:hAnsi="宋体" w:eastAsia="宋体" w:cs="宋体"/>
                <w:bCs/>
                <w:color w:val="000000"/>
                <w:kern w:val="28"/>
                <w:sz w:val="21"/>
                <w:szCs w:val="21"/>
              </w:rPr>
              <w:t>0~</w:t>
            </w:r>
            <w:r>
              <w:rPr>
                <w:rFonts w:hint="eastAsia" w:ascii="宋体" w:hAnsi="宋体" w:eastAsia="宋体" w:cs="宋体"/>
                <w:bCs/>
                <w:color w:val="000000"/>
                <w:kern w:val="28"/>
                <w:sz w:val="21"/>
                <w:szCs w:val="21"/>
                <w:lang w:val="en-US" w:eastAsia="zh-CN"/>
              </w:rPr>
              <w:t>8</w:t>
            </w:r>
            <w:r>
              <w:rPr>
                <w:rFonts w:hint="eastAsia" w:ascii="宋体" w:hAnsi="宋体" w:eastAsia="宋体" w:cs="宋体"/>
                <w:bCs/>
                <w:color w:val="000000"/>
                <w:kern w:val="28"/>
                <w:sz w:val="21"/>
                <w:szCs w:val="21"/>
              </w:rPr>
              <w:t>:00 期间，安排专人到门诊等重要紧急部门进行巡检，确保设备正常使用，发生紧急问题时迅速到达现场处理。</w:t>
            </w:r>
          </w:p>
        </w:tc>
      </w:tr>
      <w:tr w14:paraId="2BE37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7" w:hRule="atLeast"/>
        </w:trPr>
        <w:tc>
          <w:tcPr>
            <w:tcW w:w="718" w:type="dxa"/>
            <w:noWrap w:val="0"/>
            <w:vAlign w:val="center"/>
          </w:tcPr>
          <w:p w14:paraId="565DA3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2</w:t>
            </w:r>
          </w:p>
        </w:tc>
        <w:tc>
          <w:tcPr>
            <w:tcW w:w="1760" w:type="dxa"/>
            <w:noWrap w:val="0"/>
            <w:vAlign w:val="center"/>
          </w:tcPr>
          <w:p w14:paraId="229B35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非工作日（周六、周日及法定节假日）</w:t>
            </w:r>
          </w:p>
        </w:tc>
        <w:tc>
          <w:tcPr>
            <w:tcW w:w="6458" w:type="dxa"/>
            <w:noWrap w:val="0"/>
            <w:vAlign w:val="center"/>
          </w:tcPr>
          <w:p w14:paraId="090826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节假日放假时间按医院规定；</w:t>
            </w:r>
          </w:p>
          <w:p w14:paraId="222F32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节假日安排至少一名驻场</w:t>
            </w:r>
            <w:r>
              <w:rPr>
                <w:rFonts w:hint="eastAsia" w:ascii="宋体" w:hAnsi="宋体" w:eastAsia="宋体" w:cs="宋体"/>
                <w:bCs/>
                <w:color w:val="000000"/>
                <w:kern w:val="28"/>
                <w:sz w:val="21"/>
                <w:szCs w:val="21"/>
                <w:lang w:val="en-US" w:eastAsia="zh-CN"/>
              </w:rPr>
              <w:t>人员</w:t>
            </w:r>
            <w:r>
              <w:rPr>
                <w:rFonts w:hint="eastAsia" w:ascii="宋体" w:hAnsi="宋体" w:eastAsia="宋体" w:cs="宋体"/>
                <w:bCs/>
                <w:color w:val="000000"/>
                <w:kern w:val="28"/>
                <w:sz w:val="21"/>
                <w:szCs w:val="21"/>
              </w:rPr>
              <w:t>现场值班；</w:t>
            </w:r>
          </w:p>
          <w:p w14:paraId="13EA7B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根据</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的需求和实际情况增派人手、增加驻守时间，做到</w:t>
            </w:r>
            <w:r>
              <w:rPr>
                <w:rFonts w:hint="eastAsia" w:ascii="宋体" w:hAnsi="宋体" w:eastAsia="宋体" w:cs="宋体"/>
                <w:bCs/>
                <w:color w:val="000000"/>
                <w:kern w:val="28"/>
                <w:sz w:val="21"/>
                <w:szCs w:val="21"/>
                <w:lang w:eastAsia="zh-CN"/>
              </w:rPr>
              <w:t>满足采购人</w:t>
            </w:r>
            <w:r>
              <w:rPr>
                <w:rFonts w:hint="eastAsia" w:ascii="宋体" w:hAnsi="宋体" w:eastAsia="宋体" w:cs="宋体"/>
                <w:bCs/>
                <w:color w:val="000000"/>
                <w:kern w:val="28"/>
                <w:sz w:val="21"/>
                <w:szCs w:val="21"/>
              </w:rPr>
              <w:t>所急，快速高效的解决问题。</w:t>
            </w:r>
          </w:p>
        </w:tc>
      </w:tr>
      <w:tr w14:paraId="4D110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9" w:hRule="atLeast"/>
        </w:trPr>
        <w:tc>
          <w:tcPr>
            <w:tcW w:w="718" w:type="dxa"/>
            <w:noWrap w:val="0"/>
            <w:vAlign w:val="center"/>
          </w:tcPr>
          <w:p w14:paraId="75020AC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3</w:t>
            </w:r>
          </w:p>
        </w:tc>
        <w:tc>
          <w:tcPr>
            <w:tcW w:w="1760" w:type="dxa"/>
            <w:noWrap w:val="0"/>
            <w:vAlign w:val="center"/>
          </w:tcPr>
          <w:p w14:paraId="6CAEFD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lang w:eastAsia="en-US"/>
              </w:rPr>
              <w:t>应急服务要求</w:t>
            </w:r>
          </w:p>
        </w:tc>
        <w:tc>
          <w:tcPr>
            <w:tcW w:w="6458" w:type="dxa"/>
            <w:noWrap w:val="0"/>
            <w:vAlign w:val="center"/>
          </w:tcPr>
          <w:p w14:paraId="025F049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根据</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的需求和实际情况增派人手；</w:t>
            </w:r>
          </w:p>
          <w:p w14:paraId="18C51C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根据</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的需求和实际情况增加驻守时间，保证班后、休息日、节假日的应急服务支持；</w:t>
            </w:r>
          </w:p>
          <w:p w14:paraId="3E9D2F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根据</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需求和实际情况增加分院分门诊出差巡检和人员；</w:t>
            </w:r>
          </w:p>
          <w:p w14:paraId="15AC9E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临时性安排驻场服务。</w:t>
            </w:r>
          </w:p>
        </w:tc>
      </w:tr>
      <w:tr w14:paraId="54666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9" w:hRule="atLeast"/>
        </w:trPr>
        <w:tc>
          <w:tcPr>
            <w:tcW w:w="718" w:type="dxa"/>
            <w:noWrap w:val="0"/>
            <w:vAlign w:val="center"/>
          </w:tcPr>
          <w:p w14:paraId="0218E9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val="en-US" w:eastAsia="zh-CN"/>
              </w:rPr>
              <w:t>4</w:t>
            </w:r>
          </w:p>
        </w:tc>
        <w:tc>
          <w:tcPr>
            <w:tcW w:w="1760" w:type="dxa"/>
            <w:noWrap w:val="0"/>
            <w:vAlign w:val="center"/>
          </w:tcPr>
          <w:p w14:paraId="0D1747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en-US"/>
              </w:rPr>
            </w:pPr>
            <w:r>
              <w:rPr>
                <w:rFonts w:hint="eastAsia" w:ascii="宋体" w:hAnsi="宋体" w:eastAsia="宋体" w:cs="宋体"/>
                <w:bCs/>
                <w:color w:val="000000"/>
                <w:kern w:val="28"/>
                <w:sz w:val="21"/>
                <w:szCs w:val="21"/>
              </w:rPr>
              <w:t>故障响应时间和修复时间要求</w:t>
            </w:r>
          </w:p>
        </w:tc>
        <w:tc>
          <w:tcPr>
            <w:tcW w:w="6458" w:type="dxa"/>
            <w:noWrap w:val="0"/>
            <w:vAlign w:val="center"/>
          </w:tcPr>
          <w:p w14:paraId="6425E76D">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临床及一线科室响应时间为 15 分钟内到达故障现场，行政后勤等办公响应时间为 30 分钟内到达故障现场，硬件设备出现故障时，应进行紧急备件更换，保证业务的正常运行。</w:t>
            </w:r>
          </w:p>
          <w:p w14:paraId="09C8F896">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重点部门（如急诊、门诊、收费处等窗口单位）有特殊的响应机制，要做到随叫随到，并有应急处理措施。</w:t>
            </w:r>
          </w:p>
          <w:p w14:paraId="6F6EE905">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能够现场处理的故障现场处理，2小时内解决故障。</w:t>
            </w:r>
          </w:p>
          <w:p w14:paraId="169D1327">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非现场能处理的故障并且不需送院外维修的，24小时内维修好。</w:t>
            </w:r>
          </w:p>
          <w:p w14:paraId="5A5561E5">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判断为硬件故障的，需要送院外（第三方维修除外）维修的，48小时内维修好。</w:t>
            </w:r>
          </w:p>
          <w:p w14:paraId="1BFBCCC3">
            <w:pPr>
              <w:pStyle w:val="11"/>
              <w:keepNext w:val="0"/>
              <w:keepLines w:val="0"/>
              <w:pageBreakBefore w:val="0"/>
              <w:numPr>
                <w:ilvl w:val="2"/>
                <w:numId w:val="14"/>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特殊情况未能在响应时间内处理完成的，必须立即向信息科汇报。</w:t>
            </w:r>
          </w:p>
          <w:p w14:paraId="1C17481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p>
        </w:tc>
      </w:tr>
      <w:tr w14:paraId="5BFCC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9" w:hRule="atLeast"/>
        </w:trPr>
        <w:tc>
          <w:tcPr>
            <w:tcW w:w="718" w:type="dxa"/>
            <w:noWrap w:val="0"/>
            <w:vAlign w:val="center"/>
          </w:tcPr>
          <w:p w14:paraId="078172B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default" w:ascii="宋体" w:hAnsi="宋体" w:eastAsia="宋体" w:cs="宋体"/>
                <w:bCs/>
                <w:color w:val="000000"/>
                <w:kern w:val="28"/>
                <w:sz w:val="21"/>
                <w:szCs w:val="21"/>
                <w:lang w:val="en-US" w:eastAsia="zh-CN"/>
              </w:rPr>
            </w:pPr>
            <w:r>
              <w:rPr>
                <w:rFonts w:hint="eastAsia" w:ascii="宋体" w:hAnsi="宋体" w:eastAsia="宋体" w:cs="宋体"/>
                <w:bCs/>
                <w:color w:val="000000"/>
                <w:kern w:val="28"/>
                <w:sz w:val="21"/>
                <w:szCs w:val="21"/>
                <w:lang w:val="en-US" w:eastAsia="zh-CN"/>
              </w:rPr>
              <w:t>5</w:t>
            </w:r>
          </w:p>
        </w:tc>
        <w:tc>
          <w:tcPr>
            <w:tcW w:w="1760" w:type="dxa"/>
            <w:noWrap w:val="0"/>
            <w:vAlign w:val="center"/>
          </w:tcPr>
          <w:p w14:paraId="2BE3C3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lang w:eastAsia="zh-CN"/>
              </w:rPr>
              <w:t>其他</w:t>
            </w:r>
            <w:r>
              <w:rPr>
                <w:rFonts w:hint="eastAsia" w:ascii="宋体" w:hAnsi="宋体" w:eastAsia="宋体" w:cs="宋体"/>
                <w:bCs/>
                <w:color w:val="000000"/>
                <w:kern w:val="28"/>
                <w:sz w:val="21"/>
                <w:szCs w:val="21"/>
                <w:lang w:val="en-US" w:eastAsia="zh-CN"/>
              </w:rPr>
              <w:t>时间</w:t>
            </w:r>
            <w:r>
              <w:rPr>
                <w:rFonts w:hint="eastAsia" w:ascii="宋体" w:hAnsi="宋体" w:eastAsia="宋体" w:cs="宋体"/>
                <w:bCs/>
                <w:color w:val="000000"/>
                <w:kern w:val="28"/>
                <w:sz w:val="21"/>
                <w:szCs w:val="21"/>
                <w:lang w:eastAsia="zh-CN"/>
              </w:rPr>
              <w:t>要求</w:t>
            </w:r>
          </w:p>
        </w:tc>
        <w:tc>
          <w:tcPr>
            <w:tcW w:w="6458" w:type="dxa"/>
            <w:noWrap w:val="0"/>
            <w:vAlign w:val="center"/>
          </w:tcPr>
          <w:p w14:paraId="7E5666FD">
            <w:pPr>
              <w:pStyle w:val="11"/>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1）</w:t>
            </w:r>
            <w:r>
              <w:rPr>
                <w:rFonts w:hint="eastAsia" w:ascii="宋体" w:hAnsi="宋体" w:eastAsia="宋体" w:cs="宋体"/>
                <w:bCs/>
                <w:color w:val="000000"/>
                <w:kern w:val="28"/>
                <w:sz w:val="21"/>
                <w:szCs w:val="21"/>
              </w:rPr>
              <w:t>7*24小时服务热线</w:t>
            </w:r>
          </w:p>
          <w:p w14:paraId="239391EC">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医院为服务行业，提供7*24小时公众服务，因此所有驻场人员必须保持7*24小时电话畅通，对于紧急的设备故障问题，能够及时返回医院现场处理，保证医院业务的正常运转。</w:t>
            </w:r>
          </w:p>
          <w:p w14:paraId="05EEBFA8">
            <w:pPr>
              <w:pStyle w:val="11"/>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2）</w:t>
            </w:r>
            <w:r>
              <w:rPr>
                <w:rFonts w:hint="eastAsia" w:ascii="宋体" w:hAnsi="宋体" w:eastAsia="宋体" w:cs="宋体"/>
                <w:bCs/>
                <w:color w:val="000000"/>
                <w:kern w:val="28"/>
                <w:sz w:val="21"/>
                <w:szCs w:val="21"/>
              </w:rPr>
              <w:t>充足的备件库</w:t>
            </w:r>
          </w:p>
          <w:p w14:paraId="128D490E">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因设备硬件故障3小时内不能修复时，能直接提供备用机供临时使用。有义务提供数量应能满足日常备用换机需求，具体备机数量可在项目运维评估后确定，备用机在医院现场保管，随时准备投入使用。</w:t>
            </w:r>
          </w:p>
          <w:p w14:paraId="397C3110">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消耗品类的耗材提供足够的备件，满足日常更换需求，具体备件数量可在项目运维评估后确定。备件在医院现场保管，随时准备投入使用。更换耗材类备件由院方支付备件费用。</w:t>
            </w:r>
          </w:p>
          <w:p w14:paraId="08F38EBF">
            <w:pPr>
              <w:pStyle w:val="11"/>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3）</w:t>
            </w:r>
            <w:r>
              <w:rPr>
                <w:rFonts w:hint="eastAsia" w:ascii="宋体" w:hAnsi="宋体" w:eastAsia="宋体" w:cs="宋体"/>
                <w:bCs/>
                <w:color w:val="000000"/>
                <w:kern w:val="28"/>
                <w:sz w:val="21"/>
                <w:szCs w:val="21"/>
              </w:rPr>
              <w:t>远程网络支持</w:t>
            </w:r>
          </w:p>
          <w:p w14:paraId="3C174A6F">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当驻场技术工程师无法解决故障问题时，能够安排经验丰富的技术工程师进行电话支持和远程技术支持，尽可能降低设备外送的几率。</w:t>
            </w:r>
          </w:p>
          <w:p w14:paraId="725E03D7">
            <w:pPr>
              <w:pStyle w:val="11"/>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val="en-US" w:eastAsia="zh-CN"/>
              </w:rPr>
              <w:t>4）</w:t>
            </w:r>
            <w:r>
              <w:rPr>
                <w:rFonts w:hint="eastAsia" w:ascii="宋体" w:hAnsi="宋体" w:eastAsia="宋体" w:cs="宋体"/>
                <w:bCs/>
                <w:color w:val="000000"/>
                <w:kern w:val="28"/>
                <w:sz w:val="21"/>
                <w:szCs w:val="21"/>
              </w:rPr>
              <w:t>应急响应支持</w:t>
            </w:r>
          </w:p>
          <w:p w14:paraId="45EE7A44">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应有完善的应急响应机制，服务期间，如发生重大故障，能够及时组织后备专业技术团队，制定紧急预案，与驻场技术工程师一齐以最快速度进行故障处理，直至问题解决。</w:t>
            </w:r>
          </w:p>
          <w:p w14:paraId="01FF4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rPr>
                <w:rFonts w:hint="eastAsia" w:ascii="宋体" w:hAnsi="宋体" w:eastAsia="宋体" w:cs="宋体"/>
                <w:bCs/>
                <w:color w:val="000000"/>
                <w:kern w:val="28"/>
                <w:sz w:val="21"/>
                <w:szCs w:val="21"/>
              </w:rPr>
            </w:pPr>
          </w:p>
        </w:tc>
      </w:tr>
    </w:tbl>
    <w:p w14:paraId="56B91E2F">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rPr>
          <w:rFonts w:hint="eastAsia" w:ascii="宋体" w:hAnsi="宋体" w:eastAsia="宋体" w:cs="宋体"/>
          <w:color w:val="000000"/>
          <w:sz w:val="21"/>
          <w:szCs w:val="21"/>
        </w:rPr>
      </w:pPr>
    </w:p>
    <w:p w14:paraId="403FA5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5</w:t>
      </w:r>
      <w:r>
        <w:rPr>
          <w:rFonts w:hint="eastAsia" w:ascii="宋体" w:hAnsi="宋体" w:eastAsia="宋体" w:cs="宋体"/>
          <w:b/>
          <w:bCs/>
          <w:color w:val="000000"/>
          <w:kern w:val="28"/>
          <w:sz w:val="21"/>
          <w:szCs w:val="21"/>
        </w:rPr>
        <w:t>.驻</w:t>
      </w:r>
      <w:r>
        <w:rPr>
          <w:rFonts w:hint="eastAsia" w:ascii="宋体" w:hAnsi="宋体" w:eastAsia="宋体" w:cs="宋体"/>
          <w:b/>
          <w:bCs/>
          <w:color w:val="000000"/>
          <w:kern w:val="28"/>
          <w:sz w:val="21"/>
          <w:szCs w:val="21"/>
          <w:lang w:val="en-US" w:eastAsia="zh-CN"/>
        </w:rPr>
        <w:t>场</w:t>
      </w:r>
      <w:r>
        <w:rPr>
          <w:rFonts w:hint="eastAsia" w:ascii="宋体" w:hAnsi="宋体" w:eastAsia="宋体" w:cs="宋体"/>
          <w:b/>
          <w:bCs/>
          <w:color w:val="000000"/>
          <w:kern w:val="28"/>
          <w:sz w:val="21"/>
          <w:szCs w:val="21"/>
        </w:rPr>
        <w:t>人员管理</w:t>
      </w:r>
    </w:p>
    <w:p w14:paraId="30A3D3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（1）首次驻</w:t>
      </w:r>
      <w:r>
        <w:rPr>
          <w:rFonts w:hint="eastAsia" w:ascii="宋体" w:hAnsi="宋体" w:eastAsia="宋体" w:cs="宋体"/>
          <w:bCs/>
          <w:color w:val="000000"/>
          <w:kern w:val="28"/>
          <w:sz w:val="21"/>
          <w:szCs w:val="21"/>
          <w:lang w:val="en-US" w:eastAsia="zh-CN"/>
        </w:rPr>
        <w:t>场</w:t>
      </w:r>
      <w:r>
        <w:rPr>
          <w:rFonts w:hint="eastAsia" w:ascii="宋体" w:hAnsi="宋体" w:eastAsia="宋体" w:cs="宋体"/>
          <w:bCs/>
          <w:color w:val="000000"/>
          <w:kern w:val="28"/>
          <w:sz w:val="21"/>
          <w:szCs w:val="21"/>
        </w:rPr>
        <w:t>人员上岗前都要到信息科接受培训。</w:t>
      </w:r>
    </w:p>
    <w:p w14:paraId="11ACE20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（2）培训后不能胜任的，不能驻</w:t>
      </w:r>
      <w:r>
        <w:rPr>
          <w:rFonts w:hint="eastAsia" w:ascii="宋体" w:hAnsi="宋体" w:eastAsia="宋体" w:cs="宋体"/>
          <w:bCs/>
          <w:color w:val="000000"/>
          <w:kern w:val="28"/>
          <w:sz w:val="21"/>
          <w:szCs w:val="21"/>
          <w:lang w:eastAsia="zh-CN"/>
        </w:rPr>
        <w:t>场</w:t>
      </w:r>
      <w:r>
        <w:rPr>
          <w:rFonts w:hint="eastAsia" w:ascii="宋体" w:hAnsi="宋体" w:eastAsia="宋体" w:cs="宋体"/>
          <w:bCs/>
          <w:color w:val="000000"/>
          <w:kern w:val="28"/>
          <w:sz w:val="21"/>
          <w:szCs w:val="21"/>
        </w:rPr>
        <w:t>。</w:t>
      </w:r>
    </w:p>
    <w:p w14:paraId="36032B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（3）驻</w:t>
      </w:r>
      <w:r>
        <w:rPr>
          <w:rFonts w:hint="eastAsia" w:ascii="宋体" w:hAnsi="宋体" w:eastAsia="宋体" w:cs="宋体"/>
          <w:bCs/>
          <w:color w:val="000000"/>
          <w:kern w:val="28"/>
          <w:sz w:val="21"/>
          <w:szCs w:val="21"/>
          <w:lang w:val="en-US" w:eastAsia="zh-CN"/>
        </w:rPr>
        <w:t>场</w:t>
      </w:r>
      <w:r>
        <w:rPr>
          <w:rFonts w:hint="eastAsia" w:ascii="宋体" w:hAnsi="宋体" w:eastAsia="宋体" w:cs="宋体"/>
          <w:bCs/>
          <w:color w:val="000000"/>
          <w:kern w:val="28"/>
          <w:sz w:val="21"/>
          <w:szCs w:val="21"/>
        </w:rPr>
        <w:t>人员被投诉三次（含三次）的，经</w:t>
      </w:r>
      <w:r>
        <w:rPr>
          <w:rFonts w:hint="eastAsia" w:ascii="宋体" w:hAnsi="宋体" w:eastAsia="宋体" w:cs="宋体"/>
          <w:bCs/>
          <w:color w:val="000000"/>
          <w:kern w:val="28"/>
          <w:sz w:val="21"/>
          <w:szCs w:val="21"/>
          <w:lang w:eastAsia="zh-CN"/>
        </w:rPr>
        <w:t>采购</w:t>
      </w:r>
      <w:r>
        <w:rPr>
          <w:rFonts w:hint="eastAsia" w:ascii="宋体" w:hAnsi="宋体" w:eastAsia="宋体" w:cs="宋体"/>
          <w:bCs/>
          <w:color w:val="000000"/>
          <w:kern w:val="28"/>
          <w:sz w:val="21"/>
          <w:szCs w:val="21"/>
        </w:rPr>
        <w:t>人查实并通知</w:t>
      </w: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后，</w:t>
      </w: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必须做出妥善解决措施，如未能及时采取有效措施消除影响的，</w:t>
      </w: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应予更换合格的技术人员。</w:t>
      </w:r>
    </w:p>
    <w:p w14:paraId="36E2D1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6</w:t>
      </w:r>
      <w:r>
        <w:rPr>
          <w:rFonts w:hint="eastAsia" w:ascii="宋体" w:hAnsi="宋体" w:eastAsia="宋体" w:cs="宋体"/>
          <w:b/>
          <w:bCs/>
          <w:color w:val="000000"/>
          <w:kern w:val="28"/>
          <w:sz w:val="21"/>
          <w:szCs w:val="21"/>
        </w:rPr>
        <w:t>.服务模式</w:t>
      </w:r>
    </w:p>
    <w:p w14:paraId="55EA8D91">
      <w:pPr>
        <w:keepNext w:val="0"/>
        <w:keepLines w:val="0"/>
        <w:pageBreakBefore w:val="0"/>
        <w:kinsoku/>
        <w:wordWrap/>
        <w:overflowPunct/>
        <w:topLinePunct w:val="0"/>
        <w:autoSpaceDE/>
        <w:autoSpaceDN/>
        <w:bidi w:val="0"/>
        <w:spacing w:line="360" w:lineRule="auto"/>
        <w:outlineLvl w:val="0"/>
        <w:rPr>
          <w:rFonts w:hint="eastAsia" w:ascii="宋体" w:hAnsi="宋体" w:eastAsia="宋体" w:cs="宋体"/>
          <w:bCs/>
          <w:color w:val="000000"/>
          <w:kern w:val="28"/>
          <w:sz w:val="21"/>
          <w:szCs w:val="21"/>
          <w:lang w:eastAsia="zh-CN"/>
        </w:rPr>
      </w:pPr>
      <w:r>
        <w:rPr>
          <w:rFonts w:hint="eastAsia" w:ascii="宋体" w:hAnsi="宋体" w:eastAsia="宋体" w:cs="宋体"/>
          <w:bCs/>
          <w:color w:val="000000"/>
          <w:kern w:val="28"/>
          <w:sz w:val="21"/>
          <w:szCs w:val="21"/>
        </w:rPr>
        <w:t>驻场技术工程师的工作内容、工作制度、工作方式等都应严格按照</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的要求执行，接受</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管理</w:t>
      </w:r>
      <w:r>
        <w:rPr>
          <w:rFonts w:hint="eastAsia" w:ascii="宋体" w:hAnsi="宋体" w:eastAsia="宋体" w:cs="宋体"/>
          <w:sz w:val="21"/>
          <w:szCs w:val="21"/>
          <w:lang w:eastAsia="zh-CN"/>
        </w:rPr>
        <w:t>。</w:t>
      </w:r>
    </w:p>
    <w:p w14:paraId="332AEF8B">
      <w:pPr>
        <w:pStyle w:val="2"/>
        <w:keepNext w:val="0"/>
        <w:keepLines w:val="0"/>
        <w:pageBreakBefore w:val="0"/>
        <w:kinsoku/>
        <w:wordWrap/>
        <w:overflowPunct/>
        <w:topLinePunct w:val="0"/>
        <w:autoSpaceDE/>
        <w:autoSpaceDN/>
        <w:bidi w:val="0"/>
        <w:spacing w:line="360" w:lineRule="auto"/>
        <w:ind w:left="0" w:leftChars="0" w:right="0" w:rightChars="0" w:firstLine="0" w:firstLineChars="0"/>
        <w:rPr>
          <w:rFonts w:hint="eastAsia" w:ascii="宋体" w:hAnsi="宋体" w:eastAsia="宋体" w:cs="宋体"/>
          <w:sz w:val="21"/>
          <w:szCs w:val="21"/>
          <w:lang w:eastAsia="zh-CN"/>
        </w:rPr>
      </w:pPr>
    </w:p>
    <w:p w14:paraId="230B4E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7</w:t>
      </w:r>
      <w:r>
        <w:rPr>
          <w:rFonts w:hint="eastAsia" w:ascii="宋体" w:hAnsi="宋体" w:eastAsia="宋体" w:cs="宋体"/>
          <w:b/>
          <w:bCs/>
          <w:color w:val="000000"/>
          <w:kern w:val="28"/>
          <w:sz w:val="21"/>
          <w:szCs w:val="21"/>
        </w:rPr>
        <w:t>.送外维修流程</w:t>
      </w:r>
    </w:p>
    <w:p w14:paraId="3B7F0880">
      <w:pPr>
        <w:pStyle w:val="11"/>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判断硬件损坏。</w:t>
      </w:r>
    </w:p>
    <w:p w14:paraId="43C3CFB6">
      <w:pPr>
        <w:pStyle w:val="11"/>
        <w:keepNext w:val="0"/>
        <w:keepLines w:val="0"/>
        <w:pageBreakBefore w:val="0"/>
        <w:widowControl w:val="0"/>
        <w:numPr>
          <w:ilvl w:val="1"/>
          <w:numId w:val="16"/>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电脑主机外送条件：</w:t>
      </w:r>
    </w:p>
    <w:p w14:paraId="435897DE">
      <w:pPr>
        <w:pStyle w:val="11"/>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电源测试，更换一个新的电源，如电源问题导致无法开机，无需送外。</w:t>
      </w:r>
    </w:p>
    <w:p w14:paraId="19F4F0F4">
      <w:pPr>
        <w:pStyle w:val="11"/>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更换可用电源还是开机没反应或者硬件自检不能通过，可送外维修。</w:t>
      </w:r>
    </w:p>
    <w:p w14:paraId="301542DE">
      <w:pPr>
        <w:pStyle w:val="11"/>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特殊情况机器除外（如经排除操作系统问题之外开机自动重启、死机等情况）。</w:t>
      </w:r>
    </w:p>
    <w:p w14:paraId="48358F9E">
      <w:pPr>
        <w:pStyle w:val="11"/>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显示器外送条件：</w:t>
      </w:r>
    </w:p>
    <w:p w14:paraId="47AE34CC">
      <w:pPr>
        <w:pStyle w:val="11"/>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right="0" w:rightChars="0" w:firstLine="40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开机无法通电。</w:t>
      </w:r>
    </w:p>
    <w:p w14:paraId="68A7FC03">
      <w:pPr>
        <w:pStyle w:val="11"/>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right="0" w:rightChars="0" w:firstLine="40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其他问题（闪屏、图像不稳定等）。</w:t>
      </w:r>
    </w:p>
    <w:p w14:paraId="0D6AA5A7">
      <w:pPr>
        <w:pStyle w:val="11"/>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打印机外送条件：</w:t>
      </w:r>
    </w:p>
    <w:p w14:paraId="7FF79247">
      <w:pPr>
        <w:pStyle w:val="11"/>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0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针式打印机断针，现场换针，无需送外。</w:t>
      </w:r>
    </w:p>
    <w:p w14:paraId="51AC0CD7">
      <w:pPr>
        <w:pStyle w:val="11"/>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leftChars="0" w:right="0" w:rightChars="0" w:firstLine="40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其他非耗材导致无法打印的。</w:t>
      </w:r>
    </w:p>
    <w:p w14:paraId="0C49A2E3">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经信息科确认已过保修期的机器。</w:t>
      </w:r>
    </w:p>
    <w:p w14:paraId="1F54EE2F">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由驻守工程师搬至信息科安排的维修场所。</w:t>
      </w:r>
    </w:p>
    <w:p w14:paraId="7FF248B1">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专人登记机器编码，判断损坏配件元件并做好记录。</w:t>
      </w:r>
    </w:p>
    <w:p w14:paraId="38BC9C50">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信息科出放行条。</w:t>
      </w:r>
    </w:p>
    <w:p w14:paraId="3710522E">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维修好由驻</w:t>
      </w:r>
      <w:r>
        <w:rPr>
          <w:rFonts w:hint="eastAsia" w:ascii="宋体" w:hAnsi="宋体" w:eastAsia="宋体" w:cs="宋体"/>
          <w:bCs/>
          <w:color w:val="000000"/>
          <w:kern w:val="28"/>
          <w:sz w:val="21"/>
          <w:szCs w:val="21"/>
          <w:lang w:eastAsia="zh-CN"/>
        </w:rPr>
        <w:t>场</w:t>
      </w:r>
      <w:r>
        <w:rPr>
          <w:rFonts w:hint="eastAsia" w:ascii="宋体" w:hAnsi="宋体" w:eastAsia="宋体" w:cs="宋体"/>
          <w:bCs/>
          <w:color w:val="000000"/>
          <w:kern w:val="28"/>
          <w:sz w:val="21"/>
          <w:szCs w:val="21"/>
        </w:rPr>
        <w:t>工程师送回信息科安排的维修场所，测试正常后，</w:t>
      </w:r>
      <w:r>
        <w:rPr>
          <w:rFonts w:hint="eastAsia" w:ascii="宋体" w:hAnsi="宋体" w:eastAsia="宋体" w:cs="宋体"/>
          <w:bCs/>
          <w:color w:val="000000"/>
          <w:kern w:val="28"/>
          <w:sz w:val="21"/>
          <w:szCs w:val="21"/>
          <w:lang w:eastAsia="zh-CN"/>
        </w:rPr>
        <w:t>驻场</w:t>
      </w:r>
      <w:r>
        <w:rPr>
          <w:rFonts w:hint="eastAsia" w:ascii="宋体" w:hAnsi="宋体" w:eastAsia="宋体" w:cs="宋体"/>
          <w:bCs/>
          <w:color w:val="000000"/>
          <w:kern w:val="28"/>
          <w:sz w:val="21"/>
          <w:szCs w:val="21"/>
        </w:rPr>
        <w:t>工程师送回原使用科室，并且帮助使用科室将设备连接好，启动设备，试验正常工作后才算完成。</w:t>
      </w:r>
    </w:p>
    <w:p w14:paraId="7C9F309C">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服务范围内送外维修签单，应在测试正常后，送到使用科室并要求负责人在维修签单上签名。服务范围外送外维修费用签单，应在测试没问题后，由信息科负责人签名， 再与设备一齐送到使用科室并要求负责人在维修费用签单上签名。</w:t>
      </w:r>
    </w:p>
    <w:p w14:paraId="017FBB4F">
      <w:pPr>
        <w:pStyle w:val="11"/>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如需要更换配件，更换配件必须保证为原装同规格、或优于原配置的配件，如有特殊情况，必须与信息科协商认同后更换与原配件应用功能与技术指标相近的配件。</w:t>
      </w:r>
    </w:p>
    <w:p w14:paraId="6EEC53DA">
      <w:pPr>
        <w:pStyle w:val="11"/>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11</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院领导、人事、财务、纪委监察等敏感部门电脑硬件坏需要送外修时，必须有信息科人员在场情况下把硬盘拆下再外送。</w:t>
      </w:r>
    </w:p>
    <w:p w14:paraId="00E36FE5">
      <w:pPr>
        <w:pStyle w:val="11"/>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12</w:t>
      </w: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未遵守送外维修流程，送外维修导致</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遭受损失，需承担违约责任，应全额赔偿</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损失。</w:t>
      </w:r>
    </w:p>
    <w:p w14:paraId="051E04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lang w:val="en-US" w:eastAsia="zh-CN"/>
        </w:rPr>
        <w:t>13</w:t>
      </w:r>
      <w:r>
        <w:rPr>
          <w:rFonts w:hint="eastAsia" w:ascii="宋体" w:hAnsi="宋体" w:eastAsia="宋体" w:cs="宋体"/>
          <w:bCs/>
          <w:color w:val="000000"/>
          <w:kern w:val="28"/>
          <w:sz w:val="21"/>
          <w:szCs w:val="21"/>
          <w:lang w:eastAsia="zh-CN"/>
        </w:rPr>
        <w:t>）</w:t>
      </w:r>
      <w:r>
        <w:rPr>
          <w:rFonts w:hint="eastAsia" w:ascii="宋体" w:hAnsi="宋体" w:eastAsia="宋体" w:cs="宋体"/>
          <w:bCs/>
          <w:color w:val="000000"/>
          <w:kern w:val="28"/>
          <w:sz w:val="21"/>
          <w:szCs w:val="21"/>
        </w:rPr>
        <w:t>如合同外维修，必须向</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信息科汇报，经书面同意后方能按</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的采购、维修流程进行维修，否则</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有权拒绝支付相关费用。</w:t>
      </w:r>
    </w:p>
    <w:p w14:paraId="1BC6FF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0"/>
        <w:rPr>
          <w:rFonts w:hint="eastAsia" w:ascii="宋体" w:hAnsi="宋体" w:eastAsia="宋体" w:cs="宋体"/>
          <w:b/>
          <w:bCs/>
          <w:color w:val="000000"/>
          <w:kern w:val="28"/>
          <w:sz w:val="21"/>
          <w:szCs w:val="21"/>
        </w:rPr>
      </w:pPr>
      <w:r>
        <w:rPr>
          <w:rFonts w:hint="eastAsia" w:ascii="宋体" w:hAnsi="宋体" w:eastAsia="宋体" w:cs="宋体"/>
          <w:b/>
          <w:bCs/>
          <w:color w:val="000000"/>
          <w:kern w:val="28"/>
          <w:sz w:val="21"/>
          <w:szCs w:val="21"/>
          <w:lang w:val="en-US" w:eastAsia="zh-CN"/>
        </w:rPr>
        <w:t>8</w:t>
      </w:r>
      <w:r>
        <w:rPr>
          <w:rFonts w:hint="eastAsia" w:ascii="宋体" w:hAnsi="宋体" w:eastAsia="宋体" w:cs="宋体"/>
          <w:b/>
          <w:bCs/>
          <w:color w:val="000000"/>
          <w:kern w:val="28"/>
          <w:sz w:val="21"/>
          <w:szCs w:val="21"/>
        </w:rPr>
        <w:t>.</w:t>
      </w:r>
      <w:r>
        <w:rPr>
          <w:rFonts w:hint="eastAsia" w:ascii="宋体" w:hAnsi="宋体" w:eastAsia="宋体" w:cs="宋体"/>
          <w:b/>
          <w:bCs/>
          <w:color w:val="000000"/>
          <w:kern w:val="28"/>
          <w:sz w:val="21"/>
          <w:szCs w:val="21"/>
          <w:lang w:val="en-US" w:eastAsia="zh-CN"/>
        </w:rPr>
        <w:t>考核</w:t>
      </w:r>
      <w:r>
        <w:rPr>
          <w:rFonts w:hint="eastAsia" w:ascii="宋体" w:hAnsi="宋体" w:eastAsia="宋体" w:cs="宋体"/>
          <w:b/>
          <w:bCs/>
          <w:color w:val="000000"/>
          <w:kern w:val="28"/>
          <w:sz w:val="21"/>
          <w:szCs w:val="21"/>
        </w:rPr>
        <w:t>制度</w:t>
      </w:r>
    </w:p>
    <w:p w14:paraId="4C9A00C2">
      <w:pPr>
        <w:pStyle w:val="11"/>
        <w:keepNext w:val="0"/>
        <w:keepLines w:val="0"/>
        <w:pageBreakBefore w:val="0"/>
        <w:numPr>
          <w:ilvl w:val="0"/>
          <w:numId w:val="0"/>
        </w:numPr>
        <w:kinsoku/>
        <w:wordWrap/>
        <w:overflowPunct/>
        <w:topLinePunct w:val="0"/>
        <w:autoSpaceDE/>
        <w:autoSpaceDN/>
        <w:bidi w:val="0"/>
        <w:spacing w:line="360" w:lineRule="auto"/>
        <w:rPr>
          <w:rFonts w:hint="eastAsia" w:ascii="宋体" w:hAnsi="宋体" w:eastAsia="宋体" w:cs="宋体"/>
          <w:bCs/>
          <w:color w:val="000000"/>
          <w:kern w:val="28"/>
          <w:sz w:val="21"/>
          <w:szCs w:val="21"/>
        </w:rPr>
      </w:pPr>
      <w:r>
        <w:rPr>
          <w:rFonts w:hint="eastAsia" w:ascii="宋体" w:hAnsi="宋体" w:eastAsia="宋体" w:cs="宋体"/>
          <w:bCs/>
          <w:color w:val="000000"/>
          <w:kern w:val="28"/>
          <w:sz w:val="21"/>
          <w:szCs w:val="21"/>
        </w:rPr>
        <w:t>▲（</w:t>
      </w:r>
      <w:r>
        <w:rPr>
          <w:rFonts w:hint="eastAsia" w:ascii="宋体" w:hAnsi="宋体" w:eastAsia="宋体" w:cs="宋体"/>
          <w:bCs/>
          <w:color w:val="000000"/>
          <w:kern w:val="28"/>
          <w:sz w:val="21"/>
          <w:szCs w:val="21"/>
          <w:lang w:val="en-US" w:eastAsia="zh-CN"/>
        </w:rPr>
        <w:t>1</w:t>
      </w:r>
      <w:r>
        <w:rPr>
          <w:rFonts w:hint="eastAsia" w:ascii="宋体" w:hAnsi="宋体" w:eastAsia="宋体" w:cs="宋体"/>
          <w:bCs/>
          <w:color w:val="000000"/>
          <w:kern w:val="28"/>
          <w:sz w:val="21"/>
          <w:szCs w:val="21"/>
        </w:rPr>
        <w:t>）每个季度</w:t>
      </w:r>
      <w:r>
        <w:rPr>
          <w:rFonts w:hint="eastAsia" w:ascii="宋体" w:hAnsi="宋体" w:eastAsia="宋体" w:cs="宋体"/>
          <w:bCs/>
          <w:color w:val="000000"/>
          <w:kern w:val="28"/>
          <w:sz w:val="21"/>
          <w:szCs w:val="21"/>
          <w:lang w:val="en-US" w:eastAsia="zh-CN"/>
        </w:rPr>
        <w:t>采购人按《</w:t>
      </w:r>
      <w:r>
        <w:rPr>
          <w:rFonts w:hint="eastAsia" w:ascii="宋体" w:hAnsi="宋体" w:eastAsia="宋体" w:cs="宋体"/>
          <w:b/>
          <w:bCs/>
          <w:color w:val="000000"/>
          <w:sz w:val="21"/>
          <w:szCs w:val="21"/>
          <w:lang w:bidi="ar"/>
        </w:rPr>
        <w:t>运维服务考核细则</w:t>
      </w:r>
      <w:r>
        <w:rPr>
          <w:rFonts w:hint="eastAsia" w:ascii="宋体" w:hAnsi="宋体" w:eastAsia="宋体" w:cs="宋体"/>
          <w:bCs/>
          <w:color w:val="000000"/>
          <w:kern w:val="28"/>
          <w:sz w:val="21"/>
          <w:szCs w:val="21"/>
          <w:lang w:val="en-US" w:eastAsia="zh-CN"/>
        </w:rPr>
        <w:t>》</w:t>
      </w:r>
      <w:r>
        <w:rPr>
          <w:rFonts w:hint="eastAsia" w:ascii="宋体" w:hAnsi="宋体" w:eastAsia="宋体" w:cs="宋体"/>
          <w:bCs/>
          <w:color w:val="000000"/>
          <w:kern w:val="28"/>
          <w:sz w:val="21"/>
          <w:szCs w:val="21"/>
        </w:rPr>
        <w:t>对</w:t>
      </w:r>
      <w:r>
        <w:rPr>
          <w:rFonts w:hint="eastAsia" w:ascii="宋体" w:hAnsi="宋体" w:eastAsia="宋体" w:cs="宋体"/>
          <w:bCs/>
          <w:color w:val="000000"/>
          <w:kern w:val="28"/>
          <w:sz w:val="21"/>
          <w:szCs w:val="21"/>
          <w:lang w:eastAsia="zh-CN"/>
        </w:rPr>
        <w:t>成交供应商</w:t>
      </w:r>
      <w:r>
        <w:rPr>
          <w:rFonts w:hint="eastAsia" w:ascii="宋体" w:hAnsi="宋体" w:eastAsia="宋体" w:cs="宋体"/>
          <w:bCs/>
          <w:color w:val="000000"/>
          <w:kern w:val="28"/>
          <w:sz w:val="21"/>
          <w:szCs w:val="21"/>
        </w:rPr>
        <w:t>的服务质量进行考核。对于不合格的季度考核，经双方确认属实后，</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rPr>
        <w:t>可单方面扣</w:t>
      </w:r>
      <w:r>
        <w:rPr>
          <w:rFonts w:hint="eastAsia" w:ascii="宋体" w:hAnsi="宋体" w:eastAsia="宋体" w:cs="宋体"/>
          <w:bCs/>
          <w:color w:val="000000"/>
          <w:kern w:val="28"/>
          <w:sz w:val="21"/>
          <w:szCs w:val="21"/>
          <w:lang w:eastAsia="zh-CN"/>
        </w:rPr>
        <w:t>减</w:t>
      </w:r>
      <w:r>
        <w:rPr>
          <w:rFonts w:hint="eastAsia" w:ascii="宋体" w:hAnsi="宋体" w:eastAsia="宋体" w:cs="宋体"/>
          <w:bCs/>
          <w:color w:val="000000"/>
          <w:kern w:val="28"/>
          <w:sz w:val="21"/>
          <w:szCs w:val="21"/>
        </w:rPr>
        <w:t>人民币5000元。如</w:t>
      </w:r>
      <w:r>
        <w:rPr>
          <w:rFonts w:hint="eastAsia" w:ascii="宋体" w:hAnsi="宋体" w:eastAsia="宋体" w:cs="宋体"/>
          <w:bCs/>
          <w:color w:val="000000"/>
          <w:kern w:val="28"/>
          <w:sz w:val="21"/>
          <w:szCs w:val="21"/>
          <w:lang w:eastAsia="zh-CN"/>
        </w:rPr>
        <w:t>三</w:t>
      </w:r>
      <w:r>
        <w:rPr>
          <w:rFonts w:hint="eastAsia" w:ascii="宋体" w:hAnsi="宋体" w:eastAsia="宋体" w:cs="宋体"/>
          <w:bCs/>
          <w:color w:val="000000"/>
          <w:kern w:val="28"/>
          <w:sz w:val="21"/>
          <w:szCs w:val="21"/>
        </w:rPr>
        <w:t>次考核不合格，</w:t>
      </w:r>
      <w:r>
        <w:rPr>
          <w:rFonts w:hint="eastAsia" w:ascii="宋体" w:hAnsi="宋体" w:eastAsia="宋体" w:cs="宋体"/>
          <w:bCs/>
          <w:color w:val="000000"/>
          <w:kern w:val="28"/>
          <w:sz w:val="21"/>
          <w:szCs w:val="21"/>
          <w:lang w:eastAsia="zh-CN"/>
        </w:rPr>
        <w:t>采购人</w:t>
      </w:r>
      <w:r>
        <w:rPr>
          <w:rFonts w:hint="eastAsia" w:ascii="宋体" w:hAnsi="宋体" w:eastAsia="宋体" w:cs="宋体"/>
          <w:bCs/>
          <w:color w:val="000000"/>
          <w:kern w:val="28"/>
          <w:sz w:val="21"/>
          <w:szCs w:val="21"/>
          <w:lang w:val="en-US" w:eastAsia="zh-CN"/>
        </w:rPr>
        <w:t>有权终止合同</w:t>
      </w:r>
      <w:r>
        <w:rPr>
          <w:rFonts w:hint="eastAsia" w:ascii="宋体" w:hAnsi="宋体" w:eastAsia="宋体" w:cs="宋体"/>
          <w:bCs/>
          <w:color w:val="000000"/>
          <w:kern w:val="28"/>
          <w:sz w:val="21"/>
          <w:szCs w:val="21"/>
        </w:rPr>
        <w:t>。</w:t>
      </w:r>
    </w:p>
    <w:tbl>
      <w:tblPr>
        <w:tblStyle w:val="7"/>
        <w:tblW w:w="9150" w:type="dxa"/>
        <w:tblInd w:w="93" w:type="dxa"/>
        <w:tblLayout w:type="autofit"/>
        <w:tblCellMar>
          <w:top w:w="0" w:type="dxa"/>
          <w:left w:w="108" w:type="dxa"/>
          <w:bottom w:w="0" w:type="dxa"/>
          <w:right w:w="108" w:type="dxa"/>
        </w:tblCellMar>
      </w:tblPr>
      <w:tblGrid>
        <w:gridCol w:w="554"/>
        <w:gridCol w:w="1170"/>
        <w:gridCol w:w="1637"/>
        <w:gridCol w:w="5789"/>
      </w:tblGrid>
      <w:tr w14:paraId="748EA730">
        <w:tblPrEx>
          <w:tblCellMar>
            <w:top w:w="0" w:type="dxa"/>
            <w:left w:w="108" w:type="dxa"/>
            <w:bottom w:w="0" w:type="dxa"/>
            <w:right w:w="108" w:type="dxa"/>
          </w:tblCellMar>
        </w:tblPrEx>
        <w:trPr>
          <w:trHeight w:val="645" w:hRule="atLeast"/>
        </w:trPr>
        <w:tc>
          <w:tcPr>
            <w:tcW w:w="9152" w:type="dxa"/>
            <w:gridSpan w:val="4"/>
            <w:tcBorders>
              <w:top w:val="single" w:color="000000" w:sz="4" w:space="0"/>
              <w:left w:val="single" w:color="000000" w:sz="4" w:space="0"/>
              <w:bottom w:val="single" w:color="000000" w:sz="4" w:space="0"/>
              <w:right w:val="single" w:color="000000" w:sz="4" w:space="0"/>
            </w:tcBorders>
            <w:noWrap w:val="0"/>
            <w:vAlign w:val="center"/>
          </w:tcPr>
          <w:p w14:paraId="35AE6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运维服务考核细则</w:t>
            </w:r>
          </w:p>
        </w:tc>
      </w:tr>
      <w:tr w14:paraId="069B1FC6">
        <w:tblPrEx>
          <w:tblCellMar>
            <w:top w:w="0" w:type="dxa"/>
            <w:left w:w="108" w:type="dxa"/>
            <w:bottom w:w="0" w:type="dxa"/>
            <w:right w:w="108" w:type="dxa"/>
          </w:tblCellMar>
        </w:tblPrEx>
        <w:trPr>
          <w:trHeight w:val="1140" w:hRule="atLeast"/>
        </w:trPr>
        <w:tc>
          <w:tcPr>
            <w:tcW w:w="9152" w:type="dxa"/>
            <w:gridSpan w:val="4"/>
            <w:tcBorders>
              <w:top w:val="single" w:color="000000" w:sz="4" w:space="0"/>
              <w:left w:val="single" w:color="000000" w:sz="4" w:space="0"/>
              <w:bottom w:val="single" w:color="000000" w:sz="4" w:space="0"/>
              <w:right w:val="single" w:color="000000" w:sz="4" w:space="0"/>
            </w:tcBorders>
            <w:noWrap w:val="0"/>
            <w:vAlign w:val="center"/>
          </w:tcPr>
          <w:p w14:paraId="302284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1、考核评价</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考核满分为100分，</w:t>
            </w:r>
            <w:r>
              <w:rPr>
                <w:rFonts w:hint="eastAsia" w:ascii="宋体" w:hAnsi="宋体" w:eastAsia="宋体" w:cs="宋体"/>
                <w:color w:val="000000"/>
                <w:sz w:val="21"/>
                <w:szCs w:val="21"/>
                <w:lang w:bidi="ar"/>
              </w:rPr>
              <w:t>合格</w:t>
            </w:r>
            <w:r>
              <w:rPr>
                <w:rFonts w:hint="eastAsia" w:ascii="宋体" w:hAnsi="宋体" w:eastAsia="宋体" w:cs="宋体"/>
                <w:color w:val="000000"/>
                <w:sz w:val="21"/>
                <w:szCs w:val="21"/>
                <w:lang w:val="en-US" w:eastAsia="zh-CN" w:bidi="ar"/>
              </w:rPr>
              <w:t>为85</w:t>
            </w:r>
            <w:r>
              <w:rPr>
                <w:rFonts w:hint="eastAsia" w:ascii="宋体" w:hAnsi="宋体" w:eastAsia="宋体" w:cs="宋体"/>
                <w:color w:val="000000"/>
                <w:sz w:val="21"/>
                <w:szCs w:val="21"/>
                <w:lang w:bidi="ar"/>
              </w:rPr>
              <w:t>分</w:t>
            </w:r>
            <w:r>
              <w:rPr>
                <w:rFonts w:hint="eastAsia" w:ascii="宋体" w:hAnsi="宋体" w:eastAsia="宋体" w:cs="宋体"/>
                <w:color w:val="000000"/>
                <w:sz w:val="21"/>
                <w:szCs w:val="21"/>
                <w:lang w:val="en-US" w:eastAsia="zh-CN" w:bidi="ar"/>
              </w:rPr>
              <w:t>或以上</w:t>
            </w:r>
            <w:r>
              <w:rPr>
                <w:rFonts w:hint="eastAsia" w:ascii="宋体" w:hAnsi="宋体" w:eastAsia="宋体" w:cs="宋体"/>
                <w:color w:val="000000"/>
                <w:sz w:val="21"/>
                <w:szCs w:val="21"/>
                <w:lang w:bidi="ar"/>
              </w:rPr>
              <w:t>；不合格</w:t>
            </w:r>
            <w:r>
              <w:rPr>
                <w:rFonts w:hint="eastAsia" w:ascii="宋体" w:hAnsi="宋体" w:eastAsia="宋体" w:cs="宋体"/>
                <w:color w:val="000000"/>
                <w:sz w:val="21"/>
                <w:szCs w:val="21"/>
                <w:lang w:val="en-US" w:eastAsia="zh-CN" w:bidi="ar"/>
              </w:rPr>
              <w:t>为85分</w:t>
            </w:r>
            <w:r>
              <w:rPr>
                <w:rFonts w:hint="eastAsia" w:ascii="宋体" w:hAnsi="宋体" w:eastAsia="宋体" w:cs="宋体"/>
                <w:color w:val="000000"/>
                <w:sz w:val="21"/>
                <w:szCs w:val="21"/>
                <w:lang w:bidi="ar"/>
              </w:rPr>
              <w:t>以下</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不含85分</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eastAsia="zh-CN" w:bidi="ar"/>
              </w:rPr>
              <w:t>合同履行过程中，采购人</w:t>
            </w:r>
            <w:r>
              <w:rPr>
                <w:rFonts w:hint="eastAsia" w:ascii="宋体" w:hAnsi="宋体" w:eastAsia="宋体" w:cs="宋体"/>
                <w:color w:val="000000"/>
                <w:sz w:val="21"/>
                <w:szCs w:val="21"/>
                <w:lang w:bidi="ar"/>
              </w:rPr>
              <w:t>可根据业务要求对分项、考核细则作出调整，评分以实际要求为准。</w:t>
            </w:r>
          </w:p>
        </w:tc>
      </w:tr>
      <w:tr w14:paraId="36B49887">
        <w:tblPrEx>
          <w:tblCellMar>
            <w:top w:w="0" w:type="dxa"/>
            <w:left w:w="108" w:type="dxa"/>
            <w:bottom w:w="0" w:type="dxa"/>
            <w:right w:w="108" w:type="dxa"/>
          </w:tblCellMar>
        </w:tblPrEx>
        <w:trPr>
          <w:trHeight w:val="270" w:hRule="atLeast"/>
        </w:trPr>
        <w:tc>
          <w:tcPr>
            <w:tcW w:w="555" w:type="dxa"/>
            <w:tcBorders>
              <w:top w:val="nil"/>
              <w:left w:val="single" w:color="000000" w:sz="4" w:space="0"/>
              <w:bottom w:val="single" w:color="000000" w:sz="4" w:space="0"/>
              <w:right w:val="single" w:color="000000" w:sz="4" w:space="0"/>
            </w:tcBorders>
            <w:shd w:val="clear" w:color="auto" w:fill="D9D9D9"/>
            <w:noWrap w:val="0"/>
            <w:vAlign w:val="center"/>
          </w:tcPr>
          <w:p w14:paraId="630CA6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1170" w:type="dxa"/>
            <w:tcBorders>
              <w:top w:val="nil"/>
              <w:left w:val="single" w:color="000000" w:sz="4" w:space="0"/>
              <w:bottom w:val="single" w:color="000000" w:sz="4" w:space="0"/>
              <w:right w:val="single" w:color="000000" w:sz="4" w:space="0"/>
            </w:tcBorders>
            <w:shd w:val="clear" w:color="auto" w:fill="D9D9D9"/>
            <w:noWrap w:val="0"/>
            <w:vAlign w:val="center"/>
          </w:tcPr>
          <w:p w14:paraId="507757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分类</w:t>
            </w:r>
          </w:p>
        </w:tc>
        <w:tc>
          <w:tcPr>
            <w:tcW w:w="1637" w:type="dxa"/>
            <w:tcBorders>
              <w:top w:val="nil"/>
              <w:left w:val="single" w:color="000000" w:sz="4" w:space="0"/>
              <w:bottom w:val="single" w:color="000000" w:sz="4" w:space="0"/>
              <w:right w:val="single" w:color="000000" w:sz="4" w:space="0"/>
            </w:tcBorders>
            <w:shd w:val="clear" w:color="auto" w:fill="D9D9D9"/>
            <w:noWrap w:val="0"/>
            <w:vAlign w:val="center"/>
          </w:tcPr>
          <w:p w14:paraId="2B8BFC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分项</w:t>
            </w:r>
          </w:p>
        </w:tc>
        <w:tc>
          <w:tcPr>
            <w:tcW w:w="5790" w:type="dxa"/>
            <w:tcBorders>
              <w:top w:val="nil"/>
              <w:left w:val="single" w:color="000000" w:sz="4" w:space="0"/>
              <w:bottom w:val="single" w:color="000000" w:sz="4" w:space="0"/>
              <w:right w:val="single" w:color="000000" w:sz="4" w:space="0"/>
            </w:tcBorders>
            <w:shd w:val="clear" w:color="auto" w:fill="D9D9D9"/>
            <w:noWrap w:val="0"/>
            <w:vAlign w:val="center"/>
          </w:tcPr>
          <w:p w14:paraId="7E524F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详细描述</w:t>
            </w:r>
          </w:p>
        </w:tc>
      </w:tr>
      <w:tr w14:paraId="52B57FE8">
        <w:tblPrEx>
          <w:tblCellMar>
            <w:top w:w="0" w:type="dxa"/>
            <w:left w:w="108" w:type="dxa"/>
            <w:bottom w:w="0" w:type="dxa"/>
            <w:right w:w="108" w:type="dxa"/>
          </w:tblCellMar>
        </w:tblPrEx>
        <w:trPr>
          <w:trHeight w:val="810" w:hRule="atLeast"/>
        </w:trPr>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493867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w:t>
            </w:r>
          </w:p>
        </w:tc>
        <w:tc>
          <w:tcPr>
            <w:tcW w:w="1170" w:type="dxa"/>
            <w:vMerge w:val="restart"/>
            <w:tcBorders>
              <w:top w:val="single" w:color="000000" w:sz="4" w:space="0"/>
              <w:left w:val="single" w:color="000000" w:sz="4" w:space="0"/>
              <w:bottom w:val="single" w:color="000000" w:sz="4" w:space="0"/>
              <w:right w:val="single" w:color="000000" w:sz="4" w:space="0"/>
            </w:tcBorders>
            <w:noWrap w:val="0"/>
            <w:vAlign w:val="center"/>
          </w:tcPr>
          <w:p w14:paraId="08E2C5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运维人员管理</w:t>
            </w: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716495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运维人员资质</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4DEB03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成交供应商</w:t>
            </w:r>
            <w:r>
              <w:rPr>
                <w:rFonts w:hint="eastAsia" w:ascii="宋体" w:hAnsi="宋体" w:eastAsia="宋体" w:cs="宋体"/>
                <w:color w:val="000000"/>
                <w:sz w:val="21"/>
                <w:szCs w:val="21"/>
                <w:lang w:bidi="ar"/>
              </w:rPr>
              <w:t>需按照合同、需求文件以及响应文件要求，提供符合资质要求的项目运维人员。如提供人员与要求不符的，扣2分/人。</w:t>
            </w:r>
          </w:p>
        </w:tc>
      </w:tr>
      <w:tr w14:paraId="7BFA0314">
        <w:tblPrEx>
          <w:tblCellMar>
            <w:top w:w="0" w:type="dxa"/>
            <w:left w:w="108" w:type="dxa"/>
            <w:bottom w:w="0" w:type="dxa"/>
            <w:right w:w="108" w:type="dxa"/>
          </w:tblCellMar>
        </w:tblPrEx>
        <w:trPr>
          <w:trHeight w:val="810" w:hRule="atLeast"/>
        </w:trPr>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DB28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1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E86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7A300E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运维人员数量</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02C284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成交供应商</w:t>
            </w:r>
            <w:r>
              <w:rPr>
                <w:rFonts w:hint="eastAsia" w:ascii="宋体" w:hAnsi="宋体" w:eastAsia="宋体" w:cs="宋体"/>
                <w:color w:val="000000"/>
                <w:sz w:val="21"/>
                <w:szCs w:val="21"/>
                <w:lang w:bidi="ar"/>
              </w:rPr>
              <w:t>需按照合同、需求文件以及响应文件要求提供对应数量的运维人员。如发现少于要求数量的，扣2分/人次。</w:t>
            </w:r>
          </w:p>
        </w:tc>
      </w:tr>
      <w:tr w14:paraId="50960D20">
        <w:tblPrEx>
          <w:tblCellMar>
            <w:top w:w="0" w:type="dxa"/>
            <w:left w:w="108" w:type="dxa"/>
            <w:bottom w:w="0" w:type="dxa"/>
            <w:right w:w="108" w:type="dxa"/>
          </w:tblCellMar>
        </w:tblPrEx>
        <w:trPr>
          <w:trHeight w:val="2430" w:hRule="atLeast"/>
        </w:trPr>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72D2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1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F4A2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6CB332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人员管理规范性</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01895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w:t>
            </w:r>
            <w:r>
              <w:rPr>
                <w:rFonts w:hint="eastAsia" w:ascii="宋体" w:hAnsi="宋体" w:eastAsia="宋体" w:cs="宋体"/>
                <w:color w:val="000000"/>
                <w:sz w:val="21"/>
                <w:szCs w:val="21"/>
                <w:lang w:eastAsia="zh-CN" w:bidi="ar"/>
              </w:rPr>
              <w:t>成交供应商</w:t>
            </w:r>
            <w:r>
              <w:rPr>
                <w:rFonts w:hint="eastAsia" w:ascii="宋体" w:hAnsi="宋体" w:eastAsia="宋体" w:cs="宋体"/>
                <w:color w:val="000000"/>
                <w:sz w:val="21"/>
                <w:szCs w:val="21"/>
                <w:lang w:bidi="ar"/>
              </w:rPr>
              <w:t>的人员轮换表要及时报信息科，人员变动必须经过信息科批准。违反规定每人次扣1分。</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2、当班人员不得有串岗、脱岗、迟到和早退行为，发现一次扣1分；若因此造成严重后果者，每发现一次扣2分。</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3、运维人员应加强服务意识，积极做好运维工作。如发生运维人员不服从信息科工作安排的，扣2分/次。情节严重的扣8分/次。</w:t>
            </w:r>
          </w:p>
        </w:tc>
      </w:tr>
      <w:tr w14:paraId="32CEEFFB">
        <w:tblPrEx>
          <w:tblCellMar>
            <w:top w:w="0" w:type="dxa"/>
            <w:left w:w="108" w:type="dxa"/>
            <w:bottom w:w="0" w:type="dxa"/>
            <w:right w:w="108" w:type="dxa"/>
          </w:tblCellMar>
        </w:tblPrEx>
        <w:trPr>
          <w:trHeight w:val="1620" w:hRule="atLeast"/>
        </w:trPr>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E349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1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58A77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57CF59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驻场人员行为规范</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47EA6A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1、严格配合医院的疫情防控要求，未按信息科传达的要求执行的，扣1分/人次。如有出市出省的，提前跟信息科报备，如发生未报备导致影响后续驻场工作的，扣3分/次。</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2、遵守信息科的卫生及消防要求，严禁科室内吸烟，如有发现，扣0.5分/次。</w:t>
            </w:r>
          </w:p>
        </w:tc>
      </w:tr>
      <w:tr w14:paraId="260DF7CD">
        <w:tblPrEx>
          <w:tblCellMar>
            <w:top w:w="0" w:type="dxa"/>
            <w:left w:w="108" w:type="dxa"/>
            <w:bottom w:w="0" w:type="dxa"/>
            <w:right w:w="108" w:type="dxa"/>
          </w:tblCellMar>
        </w:tblPrEx>
        <w:trPr>
          <w:trHeight w:val="810" w:hRule="atLeast"/>
        </w:trPr>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5041BF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2</w:t>
            </w:r>
          </w:p>
        </w:tc>
        <w:tc>
          <w:tcPr>
            <w:tcW w:w="1170" w:type="dxa"/>
            <w:vMerge w:val="restart"/>
            <w:tcBorders>
              <w:top w:val="single" w:color="000000" w:sz="4" w:space="0"/>
              <w:left w:val="single" w:color="000000" w:sz="4" w:space="0"/>
              <w:bottom w:val="single" w:color="000000" w:sz="4" w:space="0"/>
              <w:right w:val="single" w:color="000000" w:sz="4" w:space="0"/>
            </w:tcBorders>
            <w:noWrap w:val="0"/>
            <w:vAlign w:val="center"/>
          </w:tcPr>
          <w:p w14:paraId="221972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运维服务质量</w:t>
            </w:r>
          </w:p>
        </w:tc>
        <w:tc>
          <w:tcPr>
            <w:tcW w:w="1637" w:type="dxa"/>
            <w:tcBorders>
              <w:top w:val="nil"/>
              <w:left w:val="nil"/>
              <w:bottom w:val="nil"/>
              <w:right w:val="nil"/>
            </w:tcBorders>
            <w:noWrap w:val="0"/>
            <w:vAlign w:val="center"/>
          </w:tcPr>
          <w:p w14:paraId="1EFD5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运维服务及时性</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4DAB51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对于报障的问题，处理不及时的（按合同或需求文件的及时性要求），扣1分/次。由于处理不及时而造成严重影响的，扣3分/次。</w:t>
            </w:r>
          </w:p>
        </w:tc>
      </w:tr>
      <w:tr w14:paraId="42A4DCA4">
        <w:tblPrEx>
          <w:tblCellMar>
            <w:top w:w="0" w:type="dxa"/>
            <w:left w:w="108" w:type="dxa"/>
            <w:bottom w:w="0" w:type="dxa"/>
            <w:right w:w="108" w:type="dxa"/>
          </w:tblCellMar>
        </w:tblPrEx>
        <w:trPr>
          <w:trHeight w:val="540" w:hRule="atLeast"/>
        </w:trPr>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5A0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1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17AC7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36ABE6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投诉</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529A85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如使用科室针对服务质量或运维人员有投诉，经核实投诉内容属实的，每次扣0.5分。</w:t>
            </w:r>
          </w:p>
        </w:tc>
      </w:tr>
      <w:tr w14:paraId="171B69D5">
        <w:tblPrEx>
          <w:tblCellMar>
            <w:top w:w="0" w:type="dxa"/>
            <w:left w:w="108" w:type="dxa"/>
            <w:bottom w:w="0" w:type="dxa"/>
            <w:right w:w="108" w:type="dxa"/>
          </w:tblCellMar>
        </w:tblPrEx>
        <w:trPr>
          <w:trHeight w:val="1350" w:hRule="atLeast"/>
        </w:trPr>
        <w:tc>
          <w:tcPr>
            <w:tcW w:w="5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10AC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3</w:t>
            </w:r>
          </w:p>
        </w:tc>
        <w:tc>
          <w:tcPr>
            <w:tcW w:w="1170" w:type="dxa"/>
            <w:vMerge w:val="restart"/>
            <w:tcBorders>
              <w:top w:val="single" w:color="000000" w:sz="4" w:space="0"/>
              <w:left w:val="single" w:color="000000" w:sz="4" w:space="0"/>
              <w:bottom w:val="single" w:color="000000" w:sz="4" w:space="0"/>
              <w:right w:val="single" w:color="000000" w:sz="4" w:space="0"/>
            </w:tcBorders>
            <w:noWrap w:val="0"/>
            <w:vAlign w:val="center"/>
          </w:tcPr>
          <w:p w14:paraId="00EBBB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安全管理</w:t>
            </w: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64790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系统安全</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5CECF0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Style w:val="16"/>
                <w:rFonts w:hint="eastAsia" w:ascii="宋体" w:hAnsi="宋体" w:eastAsia="宋体" w:cs="宋体"/>
                <w:color w:val="000000"/>
                <w:sz w:val="21"/>
                <w:szCs w:val="21"/>
                <w:lang w:bidi="ar"/>
              </w:rPr>
              <w:t>1、积极配合信息科的系统安全审查及整改，如无法在规定时间内完成的扣2分/次。不配合整改的，扣8分/次。</w:t>
            </w:r>
            <w:r>
              <w:rPr>
                <w:rStyle w:val="16"/>
                <w:rFonts w:hint="eastAsia" w:ascii="宋体" w:hAnsi="宋体" w:eastAsia="宋体" w:cs="宋体"/>
                <w:color w:val="000000"/>
                <w:sz w:val="21"/>
                <w:szCs w:val="21"/>
                <w:lang w:bidi="ar"/>
              </w:rPr>
              <w:br w:type="textWrapping"/>
            </w:r>
            <w:r>
              <w:rPr>
                <w:rStyle w:val="17"/>
                <w:rFonts w:hint="eastAsia" w:ascii="宋体" w:hAnsi="宋体" w:eastAsia="宋体" w:cs="宋体"/>
                <w:color w:val="000000"/>
                <w:sz w:val="21"/>
                <w:szCs w:val="21"/>
                <w:lang w:bidi="ar"/>
              </w:rPr>
              <w:t>2、因系统安全等原因，被上级部门通报的，每次扣10分。</w:t>
            </w:r>
          </w:p>
        </w:tc>
      </w:tr>
      <w:tr w14:paraId="327A4CFF">
        <w:tblPrEx>
          <w:tblCellMar>
            <w:top w:w="0" w:type="dxa"/>
            <w:left w:w="108" w:type="dxa"/>
            <w:bottom w:w="0" w:type="dxa"/>
            <w:right w:w="108" w:type="dxa"/>
          </w:tblCellMar>
        </w:tblPrEx>
        <w:trPr>
          <w:trHeight w:val="2430" w:hRule="atLeast"/>
        </w:trPr>
        <w:tc>
          <w:tcPr>
            <w:tcW w:w="5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2989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1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2C52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rPr>
                <w:rFonts w:hint="eastAsia" w:ascii="宋体" w:hAnsi="宋体" w:eastAsia="宋体" w:cs="宋体"/>
                <w:color w:val="000000"/>
                <w:sz w:val="21"/>
                <w:szCs w:val="21"/>
              </w:rPr>
            </w:pP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67CB6C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信息安全</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2CB31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1、运维人员如需出入机房的，需严格按照信息科的机房出入管理和安全管理要求，未按要求执行的，扣2分/次。如因违规操作，造成严重影响的，扣10分/次。</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2、加强系统的数据安全管理。如发生数据丢失的，每次扣2分。</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3、加强运维人员的信息保密教育，如发生利用工作之便，窃取系统数据的，扣40分/次，并移交司法机关处置。</w:t>
            </w:r>
          </w:p>
        </w:tc>
      </w:tr>
      <w:tr w14:paraId="61164385">
        <w:tblPrEx>
          <w:tblCellMar>
            <w:top w:w="0" w:type="dxa"/>
            <w:left w:w="108" w:type="dxa"/>
            <w:bottom w:w="0" w:type="dxa"/>
            <w:right w:w="108" w:type="dxa"/>
          </w:tblCellMar>
        </w:tblPrEx>
        <w:trPr>
          <w:trHeight w:val="1080" w:hRule="atLeast"/>
        </w:trPr>
        <w:tc>
          <w:tcPr>
            <w:tcW w:w="555" w:type="dxa"/>
            <w:tcBorders>
              <w:top w:val="single" w:color="000000" w:sz="4" w:space="0"/>
              <w:left w:val="single" w:color="000000" w:sz="4" w:space="0"/>
              <w:bottom w:val="single" w:color="000000" w:sz="4" w:space="0"/>
              <w:right w:val="single" w:color="000000" w:sz="4" w:space="0"/>
            </w:tcBorders>
            <w:noWrap w:val="0"/>
            <w:vAlign w:val="center"/>
          </w:tcPr>
          <w:p w14:paraId="55B0BB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4</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26F063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日常巡检管理</w:t>
            </w: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4854E3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日常巡检</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6FEC40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1、</w:t>
            </w:r>
            <w:r>
              <w:rPr>
                <w:rFonts w:hint="eastAsia" w:ascii="宋体" w:hAnsi="宋体" w:eastAsia="宋体" w:cs="宋体"/>
                <w:color w:val="000000"/>
                <w:sz w:val="21"/>
                <w:szCs w:val="21"/>
                <w:lang w:eastAsia="zh-CN" w:bidi="ar"/>
              </w:rPr>
              <w:t>运维人员</w:t>
            </w:r>
            <w:r>
              <w:rPr>
                <w:rFonts w:hint="eastAsia" w:ascii="宋体" w:hAnsi="宋体" w:eastAsia="宋体" w:cs="宋体"/>
                <w:color w:val="000000"/>
                <w:sz w:val="21"/>
                <w:szCs w:val="21"/>
                <w:lang w:bidi="ar"/>
              </w:rPr>
              <w:t>按照按合同或需求文件的规定进行巡检并填写巡检记录，未执行的扣1分/次。</w:t>
            </w:r>
            <w:r>
              <w:rPr>
                <w:rFonts w:hint="eastAsia" w:ascii="宋体" w:hAnsi="宋体" w:eastAsia="宋体" w:cs="宋体"/>
                <w:color w:val="000000"/>
                <w:sz w:val="21"/>
                <w:szCs w:val="21"/>
                <w:lang w:bidi="ar"/>
              </w:rPr>
              <w:br w:type="textWrapping"/>
            </w:r>
            <w:r>
              <w:rPr>
                <w:rFonts w:hint="eastAsia" w:ascii="宋体" w:hAnsi="宋体" w:eastAsia="宋体" w:cs="宋体"/>
                <w:color w:val="000000"/>
                <w:sz w:val="21"/>
                <w:szCs w:val="21"/>
                <w:lang w:bidi="ar"/>
              </w:rPr>
              <w:t>2、由于巡检不到位、不认真</w:t>
            </w:r>
            <w:r>
              <w:rPr>
                <w:rFonts w:hint="eastAsia" w:ascii="宋体" w:hAnsi="宋体" w:eastAsia="宋体" w:cs="宋体"/>
                <w:color w:val="000000"/>
                <w:sz w:val="21"/>
                <w:szCs w:val="21"/>
                <w:lang w:val="en-US" w:eastAsia="zh-CN" w:bidi="ar"/>
              </w:rPr>
              <w:t>所</w:t>
            </w:r>
            <w:r>
              <w:rPr>
                <w:rFonts w:hint="eastAsia" w:ascii="宋体" w:hAnsi="宋体" w:eastAsia="宋体" w:cs="宋体"/>
                <w:color w:val="000000"/>
                <w:sz w:val="21"/>
                <w:szCs w:val="21"/>
                <w:lang w:bidi="ar"/>
              </w:rPr>
              <w:t>造成系统故障、数据丢失等事故的，扣5分/次。</w:t>
            </w:r>
          </w:p>
        </w:tc>
      </w:tr>
      <w:tr w14:paraId="0FE56C8E">
        <w:tblPrEx>
          <w:tblCellMar>
            <w:top w:w="0" w:type="dxa"/>
            <w:left w:w="108" w:type="dxa"/>
            <w:bottom w:w="0" w:type="dxa"/>
            <w:right w:w="108" w:type="dxa"/>
          </w:tblCellMar>
        </w:tblPrEx>
        <w:trPr>
          <w:trHeight w:val="680" w:hRule="atLeast"/>
        </w:trPr>
        <w:tc>
          <w:tcPr>
            <w:tcW w:w="555" w:type="dxa"/>
            <w:tcBorders>
              <w:top w:val="single" w:color="000000" w:sz="4" w:space="0"/>
              <w:left w:val="single" w:color="000000" w:sz="4" w:space="0"/>
              <w:bottom w:val="single" w:color="000000" w:sz="4" w:space="0"/>
              <w:right w:val="single" w:color="000000" w:sz="4" w:space="0"/>
            </w:tcBorders>
            <w:noWrap w:val="0"/>
            <w:vAlign w:val="center"/>
          </w:tcPr>
          <w:p w14:paraId="28784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5</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60DBD8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备品备件管理</w:t>
            </w: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644B4A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备品备件</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2F1EDC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成交供应商</w:t>
            </w:r>
            <w:r>
              <w:rPr>
                <w:rFonts w:hint="eastAsia" w:ascii="宋体" w:hAnsi="宋体" w:eastAsia="宋体" w:cs="宋体"/>
                <w:color w:val="000000"/>
                <w:sz w:val="21"/>
                <w:szCs w:val="21"/>
                <w:lang w:bidi="ar"/>
              </w:rPr>
              <w:t>应按照合同或需求文件要求准备充足的备品备件，如发生备品备件不足的，扣2分/次。如因备品备件不足，造成严重影响的，扣4分/次。</w:t>
            </w:r>
          </w:p>
        </w:tc>
      </w:tr>
      <w:tr w14:paraId="39C26A1F">
        <w:tblPrEx>
          <w:tblCellMar>
            <w:top w:w="0" w:type="dxa"/>
            <w:left w:w="108" w:type="dxa"/>
            <w:bottom w:w="0" w:type="dxa"/>
            <w:right w:w="108" w:type="dxa"/>
          </w:tblCellMar>
        </w:tblPrEx>
        <w:trPr>
          <w:trHeight w:val="810" w:hRule="atLeast"/>
        </w:trPr>
        <w:tc>
          <w:tcPr>
            <w:tcW w:w="555" w:type="dxa"/>
            <w:tcBorders>
              <w:top w:val="single" w:color="000000" w:sz="4" w:space="0"/>
              <w:left w:val="single" w:color="000000" w:sz="4" w:space="0"/>
              <w:bottom w:val="single" w:color="000000" w:sz="4" w:space="0"/>
              <w:right w:val="single" w:color="000000" w:sz="4" w:space="0"/>
            </w:tcBorders>
            <w:noWrap w:val="0"/>
            <w:vAlign w:val="center"/>
          </w:tcPr>
          <w:p w14:paraId="6AB126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6</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6AC9F3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文档管理</w:t>
            </w:r>
          </w:p>
        </w:tc>
        <w:tc>
          <w:tcPr>
            <w:tcW w:w="1637" w:type="dxa"/>
            <w:tcBorders>
              <w:top w:val="single" w:color="000000" w:sz="4" w:space="0"/>
              <w:left w:val="single" w:color="000000" w:sz="4" w:space="0"/>
              <w:bottom w:val="single" w:color="000000" w:sz="4" w:space="0"/>
              <w:right w:val="single" w:color="000000" w:sz="4" w:space="0"/>
            </w:tcBorders>
            <w:noWrap w:val="0"/>
            <w:vAlign w:val="center"/>
          </w:tcPr>
          <w:p w14:paraId="260FD0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文档规范</w:t>
            </w:r>
          </w:p>
        </w:tc>
        <w:tc>
          <w:tcPr>
            <w:tcW w:w="5790" w:type="dxa"/>
            <w:tcBorders>
              <w:top w:val="single" w:color="000000" w:sz="4" w:space="0"/>
              <w:left w:val="single" w:color="000000" w:sz="4" w:space="0"/>
              <w:bottom w:val="single" w:color="000000" w:sz="4" w:space="0"/>
              <w:right w:val="single" w:color="000000" w:sz="4" w:space="0"/>
            </w:tcBorders>
            <w:noWrap w:val="0"/>
            <w:vAlign w:val="center"/>
          </w:tcPr>
          <w:p w14:paraId="00E7F4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按照合同或需求文件的要求，准备运维文档，如日报、周报、月报、巡检记录、整改报告等资料，如有缺失，每次扣0.5分。</w:t>
            </w:r>
          </w:p>
        </w:tc>
      </w:tr>
    </w:tbl>
    <w:p w14:paraId="4379C6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67D2AF"/>
    <w:multiLevelType w:val="multilevel"/>
    <w:tmpl w:val="9F67D2AF"/>
    <w:lvl w:ilvl="0" w:tentative="0">
      <w:start w:val="1"/>
      <w:numFmt w:val="chineseCountingThousand"/>
      <w:lvlText w:val="%1、"/>
      <w:lvlJc w:val="left"/>
      <w:pPr>
        <w:ind w:left="422" w:hanging="420"/>
      </w:pPr>
      <w:rPr>
        <w:rFonts w:hint="eastAsia"/>
      </w:rPr>
    </w:lvl>
    <w:lvl w:ilvl="1" w:tentative="0">
      <w:start w:val="1"/>
      <w:numFmt w:val="chineseCountingThousand"/>
      <w:suff w:val="nothing"/>
      <w:lvlText w:val="%2、"/>
      <w:lvlJc w:val="left"/>
      <w:pPr>
        <w:ind w:left="842" w:hanging="420"/>
      </w:pPr>
      <w:rPr>
        <w:rFonts w:hint="eastAsia"/>
      </w:rPr>
    </w:lvl>
    <w:lvl w:ilvl="2" w:tentative="0">
      <w:start w:val="1"/>
      <w:numFmt w:val="lowerRoman"/>
      <w:lvlText w:val="%3."/>
      <w:lvlJc w:val="right"/>
      <w:pPr>
        <w:ind w:left="1262" w:hanging="420"/>
      </w:pPr>
      <w:rPr>
        <w:rFonts w:hint="eastAsia"/>
      </w:rPr>
    </w:lvl>
    <w:lvl w:ilvl="3" w:tentative="0">
      <w:start w:val="1"/>
      <w:numFmt w:val="decimal"/>
      <w:lvlText w:val="%4."/>
      <w:lvlJc w:val="left"/>
      <w:pPr>
        <w:ind w:left="1682" w:hanging="420"/>
      </w:pPr>
      <w:rPr>
        <w:rFonts w:hint="eastAsia"/>
      </w:rPr>
    </w:lvl>
    <w:lvl w:ilvl="4" w:tentative="0">
      <w:start w:val="1"/>
      <w:numFmt w:val="lowerLetter"/>
      <w:lvlText w:val="%5)"/>
      <w:lvlJc w:val="left"/>
      <w:pPr>
        <w:ind w:left="2102" w:hanging="420"/>
      </w:pPr>
      <w:rPr>
        <w:rFonts w:hint="eastAsia"/>
      </w:rPr>
    </w:lvl>
    <w:lvl w:ilvl="5" w:tentative="0">
      <w:start w:val="1"/>
      <w:numFmt w:val="lowerRoman"/>
      <w:lvlText w:val="%6."/>
      <w:lvlJc w:val="right"/>
      <w:pPr>
        <w:ind w:left="2522" w:hanging="420"/>
      </w:pPr>
      <w:rPr>
        <w:rFonts w:hint="eastAsia"/>
      </w:rPr>
    </w:lvl>
    <w:lvl w:ilvl="6" w:tentative="0">
      <w:start w:val="1"/>
      <w:numFmt w:val="decimal"/>
      <w:lvlText w:val="%7."/>
      <w:lvlJc w:val="left"/>
      <w:pPr>
        <w:ind w:left="2942" w:hanging="420"/>
      </w:pPr>
      <w:rPr>
        <w:rFonts w:hint="eastAsia"/>
      </w:rPr>
    </w:lvl>
    <w:lvl w:ilvl="7" w:tentative="0">
      <w:start w:val="1"/>
      <w:numFmt w:val="lowerLetter"/>
      <w:lvlText w:val="%8)"/>
      <w:lvlJc w:val="left"/>
      <w:pPr>
        <w:ind w:left="3362" w:hanging="420"/>
      </w:pPr>
      <w:rPr>
        <w:rFonts w:hint="eastAsia"/>
      </w:rPr>
    </w:lvl>
    <w:lvl w:ilvl="8" w:tentative="0">
      <w:start w:val="1"/>
      <w:numFmt w:val="lowerRoman"/>
      <w:lvlText w:val="%9."/>
      <w:lvlJc w:val="right"/>
      <w:pPr>
        <w:ind w:left="3782" w:hanging="420"/>
      </w:pPr>
      <w:rPr>
        <w:rFonts w:hint="eastAsia"/>
      </w:rPr>
    </w:lvl>
  </w:abstractNum>
  <w:abstractNum w:abstractNumId="1">
    <w:nsid w:val="C1060461"/>
    <w:multiLevelType w:val="singleLevel"/>
    <w:tmpl w:val="C1060461"/>
    <w:lvl w:ilvl="0" w:tentative="0">
      <w:start w:val="1"/>
      <w:numFmt w:val="decimalEnclosedCircleChinese"/>
      <w:suff w:val="nothing"/>
      <w:lvlText w:val="%1　"/>
      <w:lvlJc w:val="left"/>
      <w:pPr>
        <w:ind w:left="0" w:firstLine="400"/>
      </w:pPr>
      <w:rPr>
        <w:rFonts w:hint="eastAsia"/>
      </w:rPr>
    </w:lvl>
  </w:abstractNum>
  <w:abstractNum w:abstractNumId="2">
    <w:nsid w:val="0A7F5601"/>
    <w:multiLevelType w:val="multilevel"/>
    <w:tmpl w:val="0A7F5601"/>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B432F67"/>
    <w:multiLevelType w:val="multilevel"/>
    <w:tmpl w:val="0B432F67"/>
    <w:lvl w:ilvl="0" w:tentative="0">
      <w:start w:val="1"/>
      <w:numFmt w:val="lowerLetter"/>
      <w:lvlText w:val="（%1）"/>
      <w:lvlJc w:val="left"/>
      <w:pPr>
        <w:ind w:left="420" w:hanging="420"/>
      </w:pPr>
      <w:rPr>
        <w:rFonts w:hint="default"/>
      </w:rPr>
    </w:lvl>
    <w:lvl w:ilvl="1" w:tentative="0">
      <w:start w:val="1"/>
      <w:numFmt w:val="lowerLetter"/>
      <w:lvlText w:val="（%2）"/>
      <w:lvlJc w:val="left"/>
      <w:pPr>
        <w:ind w:left="840" w:hanging="4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0C6398F"/>
    <w:multiLevelType w:val="multilevel"/>
    <w:tmpl w:val="10C6398F"/>
    <w:lvl w:ilvl="0" w:tentative="0">
      <w:start w:val="3"/>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2CF5328"/>
    <w:multiLevelType w:val="multilevel"/>
    <w:tmpl w:val="12CF5328"/>
    <w:lvl w:ilvl="0" w:tentative="0">
      <w:start w:val="1"/>
      <w:numFmt w:val="decimal"/>
      <w:lvlText w:val="（%1）"/>
      <w:lvlJc w:val="left"/>
      <w:pPr>
        <w:ind w:left="420" w:hanging="420"/>
      </w:pPr>
      <w:rPr>
        <w:rFonts w:hint="default"/>
      </w:rPr>
    </w:lvl>
    <w:lvl w:ilvl="1" w:tentative="0">
      <w:start w:val="1"/>
      <w:numFmt w:val="decimal"/>
      <w:lvlText w:val="%2."/>
      <w:lvlJc w:val="left"/>
      <w:pPr>
        <w:ind w:left="840" w:hanging="4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63A6AE2"/>
    <w:multiLevelType w:val="multilevel"/>
    <w:tmpl w:val="163A6AE2"/>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E1F3079"/>
    <w:multiLevelType w:val="multilevel"/>
    <w:tmpl w:val="1E1F3079"/>
    <w:lvl w:ilvl="0" w:tentative="0">
      <w:start w:val="4"/>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0907680"/>
    <w:multiLevelType w:val="multilevel"/>
    <w:tmpl w:val="20907680"/>
    <w:lvl w:ilvl="0" w:tentative="0">
      <w:start w:val="1"/>
      <w:numFmt w:val="lowerRoman"/>
      <w:lvlText w:val="%1."/>
      <w:lvlJc w:val="right"/>
      <w:pPr>
        <w:ind w:left="1407" w:hanging="420"/>
      </w:pPr>
    </w:lvl>
    <w:lvl w:ilvl="1" w:tentative="0">
      <w:start w:val="1"/>
      <w:numFmt w:val="lowerRoman"/>
      <w:lvlText w:val="%2."/>
      <w:lvlJc w:val="right"/>
      <w:pPr>
        <w:ind w:left="1827" w:hanging="420"/>
      </w:pPr>
    </w:lvl>
    <w:lvl w:ilvl="2" w:tentative="0">
      <w:start w:val="1"/>
      <w:numFmt w:val="decimal"/>
      <w:lvlText w:val="%3）"/>
      <w:lvlJc w:val="left"/>
      <w:pPr>
        <w:ind w:left="2247" w:hanging="420"/>
      </w:pPr>
      <w:rPr>
        <w:rFonts w:hint="default"/>
      </w:r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9">
    <w:nsid w:val="2508EBD4"/>
    <w:multiLevelType w:val="singleLevel"/>
    <w:tmpl w:val="2508EBD4"/>
    <w:lvl w:ilvl="0" w:tentative="0">
      <w:start w:val="1"/>
      <w:numFmt w:val="decimal"/>
      <w:suff w:val="nothing"/>
      <w:lvlText w:val="（%1）"/>
      <w:lvlJc w:val="left"/>
    </w:lvl>
  </w:abstractNum>
  <w:abstractNum w:abstractNumId="10">
    <w:nsid w:val="281D2123"/>
    <w:multiLevelType w:val="multilevel"/>
    <w:tmpl w:val="281D2123"/>
    <w:lvl w:ilvl="0" w:tentative="0">
      <w:start w:val="1"/>
      <w:numFmt w:val="decimal"/>
      <w:lvlText w:val="（%1）"/>
      <w:lvlJc w:val="left"/>
      <w:pPr>
        <w:ind w:left="420" w:hanging="420"/>
      </w:pPr>
      <w:rPr>
        <w:rFonts w:hint="default"/>
        <w:b w:val="0"/>
      </w:rPr>
    </w:lvl>
    <w:lvl w:ilvl="1" w:tentative="0">
      <w:start w:val="1"/>
      <w:numFmt w:val="decimal"/>
      <w:lvlText w:val="（%2）"/>
      <w:lvlJc w:val="left"/>
      <w:pPr>
        <w:ind w:left="840" w:hanging="4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9336999"/>
    <w:multiLevelType w:val="singleLevel"/>
    <w:tmpl w:val="39336999"/>
    <w:lvl w:ilvl="0" w:tentative="0">
      <w:start w:val="1"/>
      <w:numFmt w:val="decimalEnclosedCircleChinese"/>
      <w:suff w:val="nothing"/>
      <w:lvlText w:val="%1　"/>
      <w:lvlJc w:val="left"/>
      <w:pPr>
        <w:ind w:left="0" w:firstLine="400"/>
      </w:pPr>
      <w:rPr>
        <w:rFonts w:hint="eastAsia"/>
      </w:rPr>
    </w:lvl>
  </w:abstractNum>
  <w:abstractNum w:abstractNumId="12">
    <w:nsid w:val="3D7F0B19"/>
    <w:multiLevelType w:val="singleLevel"/>
    <w:tmpl w:val="3D7F0B19"/>
    <w:lvl w:ilvl="0" w:tentative="0">
      <w:start w:val="1"/>
      <w:numFmt w:val="decimalEnclosedCircleChinese"/>
      <w:suff w:val="nothing"/>
      <w:lvlText w:val="%1　"/>
      <w:lvlJc w:val="left"/>
      <w:pPr>
        <w:ind w:left="0" w:firstLine="400"/>
      </w:pPr>
      <w:rPr>
        <w:rFonts w:hint="eastAsia"/>
      </w:rPr>
    </w:lvl>
  </w:abstractNum>
  <w:abstractNum w:abstractNumId="13">
    <w:nsid w:val="43653A3E"/>
    <w:multiLevelType w:val="multilevel"/>
    <w:tmpl w:val="43653A3E"/>
    <w:lvl w:ilvl="0" w:tentative="0">
      <w:start w:val="1"/>
      <w:numFmt w:val="decimal"/>
      <w:lvlText w:val="（%1）"/>
      <w:lvlJc w:val="left"/>
      <w:pPr>
        <w:ind w:left="825" w:hanging="420"/>
      </w:pPr>
      <w:rPr>
        <w:rFonts w:hint="default"/>
      </w:rPr>
    </w:lvl>
    <w:lvl w:ilvl="1" w:tentative="0">
      <w:start w:val="1"/>
      <w:numFmt w:val="lowerLetter"/>
      <w:lvlText w:val="%2)"/>
      <w:lvlJc w:val="left"/>
      <w:pPr>
        <w:ind w:left="1245" w:hanging="420"/>
      </w:pPr>
    </w:lvl>
    <w:lvl w:ilvl="2" w:tentative="0">
      <w:start w:val="1"/>
      <w:numFmt w:val="lowerRoman"/>
      <w:lvlText w:val="%3."/>
      <w:lvlJc w:val="right"/>
      <w:pPr>
        <w:ind w:left="1665" w:hanging="420"/>
      </w:pPr>
    </w:lvl>
    <w:lvl w:ilvl="3" w:tentative="0">
      <w:start w:val="1"/>
      <w:numFmt w:val="decimal"/>
      <w:lvlText w:val="%4."/>
      <w:lvlJc w:val="left"/>
      <w:pPr>
        <w:ind w:left="2085" w:hanging="420"/>
      </w:pPr>
    </w:lvl>
    <w:lvl w:ilvl="4" w:tentative="0">
      <w:start w:val="1"/>
      <w:numFmt w:val="lowerLetter"/>
      <w:lvlText w:val="%5)"/>
      <w:lvlJc w:val="left"/>
      <w:pPr>
        <w:ind w:left="2505" w:hanging="420"/>
      </w:pPr>
    </w:lvl>
    <w:lvl w:ilvl="5" w:tentative="0">
      <w:start w:val="1"/>
      <w:numFmt w:val="lowerRoman"/>
      <w:lvlText w:val="%6."/>
      <w:lvlJc w:val="right"/>
      <w:pPr>
        <w:ind w:left="2925" w:hanging="420"/>
      </w:pPr>
    </w:lvl>
    <w:lvl w:ilvl="6" w:tentative="0">
      <w:start w:val="1"/>
      <w:numFmt w:val="decimal"/>
      <w:lvlText w:val="%7."/>
      <w:lvlJc w:val="left"/>
      <w:pPr>
        <w:ind w:left="3345" w:hanging="420"/>
      </w:pPr>
    </w:lvl>
    <w:lvl w:ilvl="7" w:tentative="0">
      <w:start w:val="1"/>
      <w:numFmt w:val="lowerLetter"/>
      <w:lvlText w:val="%8)"/>
      <w:lvlJc w:val="left"/>
      <w:pPr>
        <w:ind w:left="3765" w:hanging="420"/>
      </w:pPr>
    </w:lvl>
    <w:lvl w:ilvl="8" w:tentative="0">
      <w:start w:val="1"/>
      <w:numFmt w:val="lowerRoman"/>
      <w:lvlText w:val="%9."/>
      <w:lvlJc w:val="right"/>
      <w:pPr>
        <w:ind w:left="4185" w:hanging="420"/>
      </w:pPr>
    </w:lvl>
  </w:abstractNum>
  <w:abstractNum w:abstractNumId="14">
    <w:nsid w:val="46097F78"/>
    <w:multiLevelType w:val="multilevel"/>
    <w:tmpl w:val="46097F78"/>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F62F4A8"/>
    <w:multiLevelType w:val="singleLevel"/>
    <w:tmpl w:val="4F62F4A8"/>
    <w:lvl w:ilvl="0" w:tentative="0">
      <w:start w:val="4"/>
      <w:numFmt w:val="chineseCounting"/>
      <w:suff w:val="nothing"/>
      <w:lvlText w:val="%1、"/>
      <w:lvlJc w:val="left"/>
      <w:rPr>
        <w:rFonts w:hint="eastAsia"/>
      </w:rPr>
    </w:lvl>
  </w:abstractNum>
  <w:abstractNum w:abstractNumId="16">
    <w:nsid w:val="5E5D44B3"/>
    <w:multiLevelType w:val="singleLevel"/>
    <w:tmpl w:val="5E5D44B3"/>
    <w:lvl w:ilvl="0" w:tentative="0">
      <w:start w:val="1"/>
      <w:numFmt w:val="decimal"/>
      <w:lvlText w:val="%1."/>
      <w:lvlJc w:val="left"/>
      <w:pPr>
        <w:tabs>
          <w:tab w:val="left" w:pos="312"/>
        </w:tabs>
      </w:pPr>
    </w:lvl>
  </w:abstractNum>
  <w:abstractNum w:abstractNumId="17">
    <w:nsid w:val="7108CA3A"/>
    <w:multiLevelType w:val="singleLevel"/>
    <w:tmpl w:val="7108CA3A"/>
    <w:lvl w:ilvl="0" w:tentative="0">
      <w:start w:val="1"/>
      <w:numFmt w:val="decimal"/>
      <w:lvlText w:val="%1."/>
      <w:lvlJc w:val="left"/>
      <w:pPr>
        <w:tabs>
          <w:tab w:val="left" w:pos="312"/>
        </w:tabs>
      </w:pPr>
    </w:lvl>
  </w:abstractNum>
  <w:abstractNum w:abstractNumId="18">
    <w:nsid w:val="7200E483"/>
    <w:multiLevelType w:val="singleLevel"/>
    <w:tmpl w:val="7200E483"/>
    <w:lvl w:ilvl="0" w:tentative="0">
      <w:start w:val="1"/>
      <w:numFmt w:val="decimalEnclosedCircleChinese"/>
      <w:suff w:val="nothing"/>
      <w:lvlText w:val="%1　"/>
      <w:lvlJc w:val="left"/>
      <w:pPr>
        <w:ind w:left="0" w:firstLine="400"/>
      </w:pPr>
      <w:rPr>
        <w:rFonts w:hint="eastAsia"/>
      </w:rPr>
    </w:lvl>
  </w:abstractNum>
  <w:abstractNum w:abstractNumId="19">
    <w:nsid w:val="7BBF156F"/>
    <w:multiLevelType w:val="multilevel"/>
    <w:tmpl w:val="7BBF156F"/>
    <w:lvl w:ilvl="0" w:tentative="0">
      <w:start w:val="1"/>
      <w:numFmt w:val="decimal"/>
      <w:lvlText w:val="（%1）"/>
      <w:lvlJc w:val="left"/>
      <w:pPr>
        <w:ind w:left="860" w:hanging="420"/>
      </w:pPr>
      <w:rPr>
        <w:rFonts w:hint="default"/>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20">
    <w:nsid w:val="7E3DCF43"/>
    <w:multiLevelType w:val="singleLevel"/>
    <w:tmpl w:val="7E3DCF43"/>
    <w:lvl w:ilvl="0" w:tentative="0">
      <w:start w:val="1"/>
      <w:numFmt w:val="decimal"/>
      <w:suff w:val="nothing"/>
      <w:lvlText w:val="%1）"/>
      <w:lvlJc w:val="left"/>
    </w:lvl>
  </w:abstractNum>
  <w:abstractNum w:abstractNumId="21">
    <w:nsid w:val="7ECF12FF"/>
    <w:multiLevelType w:val="multilevel"/>
    <w:tmpl w:val="7ECF12FF"/>
    <w:lvl w:ilvl="0" w:tentative="0">
      <w:start w:val="2"/>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0"/>
  </w:num>
  <w:num w:numId="3">
    <w:abstractNumId w:val="15"/>
  </w:num>
  <w:num w:numId="4">
    <w:abstractNumId w:val="19"/>
  </w:num>
  <w:num w:numId="5">
    <w:abstractNumId w:val="5"/>
  </w:num>
  <w:num w:numId="6">
    <w:abstractNumId w:val="10"/>
  </w:num>
  <w:num w:numId="7">
    <w:abstractNumId w:val="2"/>
  </w:num>
  <w:num w:numId="8">
    <w:abstractNumId w:val="11"/>
  </w:num>
  <w:num w:numId="9">
    <w:abstractNumId w:val="12"/>
  </w:num>
  <w:num w:numId="10">
    <w:abstractNumId w:val="14"/>
  </w:num>
  <w:num w:numId="11">
    <w:abstractNumId w:val="16"/>
  </w:num>
  <w:num w:numId="12">
    <w:abstractNumId w:val="17"/>
  </w:num>
  <w:num w:numId="13">
    <w:abstractNumId w:val="9"/>
  </w:num>
  <w:num w:numId="14">
    <w:abstractNumId w:val="8"/>
  </w:num>
  <w:num w:numId="15">
    <w:abstractNumId w:val="13"/>
  </w:num>
  <w:num w:numId="16">
    <w:abstractNumId w:val="3"/>
  </w:num>
  <w:num w:numId="17">
    <w:abstractNumId w:val="6"/>
  </w:num>
  <w:num w:numId="18">
    <w:abstractNumId w:val="21"/>
  </w:num>
  <w:num w:numId="19">
    <w:abstractNumId w:val="18"/>
  </w:num>
  <w:num w:numId="20">
    <w:abstractNumId w:val="4"/>
  </w:num>
  <w:num w:numId="21">
    <w:abstractNumId w:val="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8968BA"/>
    <w:rsid w:val="09F74B29"/>
    <w:rsid w:val="0AD41965"/>
    <w:rsid w:val="0C8968BA"/>
    <w:rsid w:val="137A57A0"/>
    <w:rsid w:val="193B2251"/>
    <w:rsid w:val="1F923E71"/>
    <w:rsid w:val="2CF66375"/>
    <w:rsid w:val="3BC66455"/>
    <w:rsid w:val="3F5465F5"/>
    <w:rsid w:val="458C51B9"/>
    <w:rsid w:val="4DB35F38"/>
    <w:rsid w:val="53B3517D"/>
    <w:rsid w:val="57C525FE"/>
    <w:rsid w:val="5982091A"/>
    <w:rsid w:val="7AE244DA"/>
    <w:rsid w:val="7B2711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rPr>
      <w:kern w:val="0"/>
      <w:sz w:val="20"/>
      <w:szCs w:val="20"/>
    </w:rPr>
  </w:style>
  <w:style w:type="paragraph" w:styleId="3">
    <w:name w:val="annotation text"/>
    <w:basedOn w:val="1"/>
    <w:qFormat/>
    <w:uiPriority w:val="0"/>
    <w:pPr>
      <w:jc w:val="left"/>
    </w:pPr>
  </w:style>
  <w:style w:type="paragraph" w:styleId="4">
    <w:name w:val="Body Text"/>
    <w:basedOn w:val="1"/>
    <w:next w:val="5"/>
    <w:qFormat/>
    <w:uiPriority w:val="0"/>
    <w:pPr>
      <w:spacing w:line="360" w:lineRule="auto"/>
    </w:pPr>
    <w:rPr>
      <w:kern w:val="0"/>
      <w:sz w:val="20"/>
    </w:rPr>
  </w:style>
  <w:style w:type="paragraph" w:customStyle="1" w:styleId="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Body Text First Indent"/>
    <w:basedOn w:val="4"/>
    <w:next w:val="1"/>
    <w:qFormat/>
    <w:uiPriority w:val="0"/>
    <w:pPr>
      <w:spacing w:after="120" w:line="240" w:lineRule="auto"/>
      <w:ind w:firstLine="420" w:firstLineChars="100"/>
    </w:pPr>
    <w:rPr>
      <w:szCs w:val="24"/>
    </w:rPr>
  </w:style>
  <w:style w:type="table" w:styleId="8">
    <w:name w:val="Table Grid"/>
    <w:basedOn w:val="7"/>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styleId="11">
    <w:name w:val="List Paragraph"/>
    <w:basedOn w:val="1"/>
    <w:qFormat/>
    <w:uiPriority w:val="0"/>
    <w:pPr>
      <w:ind w:firstLine="420" w:firstLineChars="200"/>
    </w:pPr>
    <w:rPr>
      <w:rFonts w:ascii="Calibri" w:hAnsi="Calibri"/>
      <w:kern w:val="0"/>
      <w:sz w:val="20"/>
      <w:szCs w:val="20"/>
    </w:rPr>
  </w:style>
  <w:style w:type="paragraph" w:customStyle="1" w:styleId="12">
    <w:name w:val="null3"/>
    <w:qFormat/>
    <w:uiPriority w:val="0"/>
    <w:rPr>
      <w:rFonts w:hint="eastAsia" w:ascii="Calibri" w:hAnsi="Calibri" w:eastAsia="宋体" w:cs="Times New Roman"/>
      <w:lang w:val="en-US" w:eastAsia="zh-Hans" w:bidi="ar-SA"/>
    </w:rPr>
  </w:style>
  <w:style w:type="paragraph" w:customStyle="1" w:styleId="13">
    <w:name w:val="BodyText"/>
    <w:basedOn w:val="1"/>
    <w:qFormat/>
    <w:uiPriority w:val="0"/>
    <w:pPr>
      <w:ind w:right="-26"/>
      <w:jc w:val="center"/>
    </w:pPr>
    <w:rPr>
      <w:b/>
      <w:bCs/>
      <w:kern w:val="2"/>
      <w:sz w:val="84"/>
      <w:szCs w:val="84"/>
      <w:lang w:val="zh-CN"/>
    </w:rPr>
  </w:style>
  <w:style w:type="paragraph" w:customStyle="1" w:styleId="14">
    <w:name w:val="List Paragraph1"/>
    <w:basedOn w:val="1"/>
    <w:qFormat/>
    <w:uiPriority w:val="0"/>
    <w:pPr>
      <w:ind w:firstLine="420" w:firstLineChars="200"/>
    </w:pPr>
    <w:rPr>
      <w:szCs w:val="21"/>
    </w:rPr>
  </w:style>
  <w:style w:type="paragraph" w:customStyle="1" w:styleId="15">
    <w:name w:val="凯德正文"/>
    <w:basedOn w:val="1"/>
    <w:qFormat/>
    <w:uiPriority w:val="0"/>
    <w:pPr>
      <w:spacing w:line="360" w:lineRule="auto"/>
      <w:ind w:firstLine="200" w:firstLineChars="200"/>
    </w:pPr>
    <w:rPr>
      <w:sz w:val="24"/>
    </w:rPr>
  </w:style>
  <w:style w:type="character" w:customStyle="1" w:styleId="16">
    <w:name w:val="font51"/>
    <w:basedOn w:val="9"/>
    <w:qFormat/>
    <w:uiPriority w:val="0"/>
    <w:rPr>
      <w:rFonts w:hint="eastAsia" w:ascii="宋体" w:hAnsi="宋体" w:eastAsia="宋体" w:cs="宋体"/>
      <w:color w:val="000000"/>
      <w:sz w:val="20"/>
      <w:szCs w:val="20"/>
      <w:u w:val="none"/>
    </w:rPr>
  </w:style>
  <w:style w:type="character" w:customStyle="1" w:styleId="17">
    <w:name w:val="font21"/>
    <w:basedOn w:val="9"/>
    <w:qFormat/>
    <w:uiPriority w:val="0"/>
    <w:rPr>
      <w:color w:val="417998"/>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4215</Words>
  <Characters>4347</Characters>
  <Lines>0</Lines>
  <Paragraphs>0</Paragraphs>
  <TotalTime>5</TotalTime>
  <ScaleCrop>false</ScaleCrop>
  <LinksUpToDate>false</LinksUpToDate>
  <CharactersWithSpaces>4356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2026-06-10T01:05:00Z</dcterms:created>
  <dc:creator>chis</dc:creator>
  <cp:lastModifiedBy>小葵</cp:lastModifiedBy>
  <dcterms:modified xsi:type="dcterms:W3CDTF">2026-06-23T06:19:14Z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5010FFD9FBD8468DBDA944F6A85B7E5F_13</vt:lpwstr>
  </property>
  <property fmtid="{D5CDD505-2E9C-101B-9397-08002B2CF9AE}" pid="4" name="KSOTemplateDocerSaveRecord">
    <vt:lpwstr>eyJoZGlkIjoiNTQ2NGE3NTFiODNjY2RiZGRiOTczZjZjYmU3OGYwNWEiLCJ1c2VySWQiOiI2MTM0MDgyMDkifQ==</vt:lpwstr>
  </property>
</Properties>
</file>