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BD6065">
      <w:pPr>
        <w:jc w:val="center"/>
        <w:rPr>
          <w:rFonts w:eastAsia="黑体"/>
          <w:b/>
          <w:sz w:val="28"/>
          <w:szCs w:val="28"/>
        </w:rPr>
      </w:pPr>
      <w:r>
        <w:rPr>
          <w:rFonts w:hint="eastAsia" w:eastAsia="黑体"/>
          <w:b/>
          <w:sz w:val="28"/>
          <w:szCs w:val="28"/>
        </w:rPr>
        <w:t>2026-2027年网站政务云服务采购项目用户需求</w:t>
      </w:r>
    </w:p>
    <w:p w14:paraId="781E250C">
      <w:pPr>
        <w:widowControl/>
        <w:snapToGrid w:val="0"/>
        <w:spacing w:line="360" w:lineRule="auto"/>
        <w:rPr>
          <w:b/>
          <w:sz w:val="21"/>
          <w:szCs w:val="21"/>
        </w:rPr>
      </w:pPr>
    </w:p>
    <w:p w14:paraId="6E52A868">
      <w:pPr>
        <w:widowControl/>
        <w:snapToGrid w:val="0"/>
        <w:spacing w:line="360" w:lineRule="auto"/>
        <w:rPr>
          <w:b/>
          <w:sz w:val="24"/>
          <w:szCs w:val="24"/>
        </w:rPr>
      </w:pPr>
      <w:r>
        <w:rPr>
          <w:b/>
          <w:sz w:val="24"/>
          <w:szCs w:val="24"/>
        </w:rPr>
        <w:t>一、建设背景</w:t>
      </w:r>
    </w:p>
    <w:p w14:paraId="4B9D2468">
      <w:pPr>
        <w:ind w:firstLine="420" w:firstLineChars="200"/>
        <w:rPr>
          <w:color w:val="000000"/>
          <w:sz w:val="21"/>
          <w:szCs w:val="21"/>
        </w:rPr>
      </w:pPr>
      <w:r>
        <w:rPr>
          <w:rFonts w:hint="eastAsia"/>
          <w:color w:val="000000"/>
          <w:sz w:val="21"/>
          <w:szCs w:val="21"/>
        </w:rPr>
        <w:t>1、单位简介</w:t>
      </w:r>
    </w:p>
    <w:p w14:paraId="0FF33213">
      <w:pPr>
        <w:spacing w:line="360" w:lineRule="auto"/>
        <w:ind w:firstLine="420" w:firstLineChars="200"/>
        <w:rPr>
          <w:color w:val="000000"/>
          <w:sz w:val="21"/>
          <w:szCs w:val="21"/>
        </w:rPr>
      </w:pPr>
      <w:r>
        <w:rPr>
          <w:rFonts w:hint="eastAsia"/>
          <w:color w:val="000000"/>
          <w:sz w:val="21"/>
          <w:szCs w:val="21"/>
        </w:rPr>
        <w:t>中山市人民医院位于中山市中心城区，坐落在莲峰山麓，是集医疗、教学、科研、预防保健为一体的综合性“三级甲等医院”，是中山大学附属中山医院、中山大学中山医学院临床研究生教学基地、广东省全科医师规范化培训基地和医学教育基地和广东医学院的临床学院。先后荣膺“爱婴医院”、“广东省高等医学院校教学医院”、“百家文明医院”、“广东省信息化示范单位”、“卫生部数字化医院试点示范单位”、“全国医药卫生系统先进集体”、“全国构建和谐关系示范医院”等光荣称号。</w:t>
      </w:r>
    </w:p>
    <w:p w14:paraId="433015D4">
      <w:pPr>
        <w:ind w:firstLine="420" w:firstLineChars="200"/>
        <w:rPr>
          <w:color w:val="000000"/>
          <w:sz w:val="21"/>
          <w:szCs w:val="21"/>
        </w:rPr>
      </w:pPr>
    </w:p>
    <w:p w14:paraId="3B7F33B6">
      <w:pPr>
        <w:numPr>
          <w:ilvl w:val="0"/>
          <w:numId w:val="2"/>
        </w:numPr>
        <w:ind w:firstLine="420" w:firstLineChars="200"/>
        <w:rPr>
          <w:color w:val="000000"/>
          <w:sz w:val="21"/>
          <w:szCs w:val="21"/>
        </w:rPr>
      </w:pPr>
      <w:r>
        <w:rPr>
          <w:color w:val="000000"/>
          <w:sz w:val="21"/>
          <w:szCs w:val="21"/>
        </w:rPr>
        <w:t>现状情况</w:t>
      </w:r>
    </w:p>
    <w:p w14:paraId="55E691AC">
      <w:pPr>
        <w:spacing w:line="360" w:lineRule="auto"/>
        <w:ind w:firstLine="420" w:firstLineChars="200"/>
        <w:rPr>
          <w:color w:val="000000"/>
          <w:sz w:val="21"/>
          <w:szCs w:val="21"/>
        </w:rPr>
      </w:pPr>
      <w:r>
        <w:rPr>
          <w:color w:val="000000"/>
          <w:sz w:val="21"/>
          <w:szCs w:val="21"/>
        </w:rPr>
        <w:t>随着医院互联网业务的大量使用，微信小程序、云签名、办公OA等业务已成为医院关键业务</w:t>
      </w:r>
      <w:r>
        <w:rPr>
          <w:rFonts w:hint="eastAsia"/>
          <w:color w:val="000000"/>
          <w:sz w:val="21"/>
          <w:szCs w:val="21"/>
          <w:lang w:eastAsia="zh-CN"/>
        </w:rPr>
        <w:t>。</w:t>
      </w:r>
      <w:r>
        <w:rPr>
          <w:rFonts w:hint="eastAsia"/>
          <w:color w:val="000000"/>
          <w:sz w:val="21"/>
          <w:szCs w:val="21"/>
          <w:lang w:val="en-US" w:eastAsia="zh-CN"/>
        </w:rPr>
        <w:t>为</w:t>
      </w:r>
      <w:r>
        <w:rPr>
          <w:color w:val="000000"/>
          <w:sz w:val="21"/>
          <w:szCs w:val="21"/>
        </w:rPr>
        <w:t>满足上级部门的安全要求</w:t>
      </w:r>
      <w:r>
        <w:rPr>
          <w:rFonts w:hint="eastAsia"/>
          <w:color w:val="000000"/>
          <w:sz w:val="21"/>
          <w:szCs w:val="21"/>
          <w:lang w:eastAsia="zh-CN"/>
        </w:rPr>
        <w:t>，</w:t>
      </w:r>
      <w:r>
        <w:rPr>
          <w:color w:val="000000"/>
          <w:sz w:val="21"/>
          <w:szCs w:val="21"/>
        </w:rPr>
        <w:t>医院</w:t>
      </w:r>
      <w:r>
        <w:rPr>
          <w:rFonts w:hint="eastAsia"/>
          <w:color w:val="000000"/>
          <w:sz w:val="21"/>
          <w:szCs w:val="21"/>
          <w:lang w:val="en-US" w:eastAsia="zh-CN"/>
        </w:rPr>
        <w:t>前期已将</w:t>
      </w:r>
      <w:r>
        <w:rPr>
          <w:color w:val="000000"/>
          <w:sz w:val="21"/>
          <w:szCs w:val="21"/>
        </w:rPr>
        <w:t>官网</w:t>
      </w:r>
      <w:r>
        <w:rPr>
          <w:rFonts w:hint="eastAsia"/>
          <w:color w:val="000000"/>
          <w:sz w:val="21"/>
          <w:szCs w:val="21"/>
          <w:lang w:val="en-US" w:eastAsia="zh-CN"/>
        </w:rPr>
        <w:t>迁移部署</w:t>
      </w:r>
      <w:r>
        <w:rPr>
          <w:color w:val="000000"/>
          <w:sz w:val="21"/>
          <w:szCs w:val="21"/>
        </w:rPr>
        <w:t>在</w:t>
      </w:r>
      <w:r>
        <w:rPr>
          <w:rFonts w:hint="eastAsia"/>
          <w:color w:val="000000"/>
          <w:sz w:val="21"/>
          <w:szCs w:val="21"/>
          <w:lang w:val="en-US" w:eastAsia="zh-CN"/>
        </w:rPr>
        <w:t>中山市政务云</w:t>
      </w:r>
      <w:r>
        <w:rPr>
          <w:color w:val="000000"/>
          <w:sz w:val="21"/>
          <w:szCs w:val="21"/>
        </w:rPr>
        <w:t>，</w:t>
      </w:r>
      <w:r>
        <w:rPr>
          <w:rFonts w:hint="eastAsia"/>
          <w:color w:val="000000"/>
          <w:sz w:val="21"/>
          <w:szCs w:val="21"/>
          <w:lang w:val="en-US" w:eastAsia="zh-CN"/>
        </w:rPr>
        <w:t>相关服务将于2026年7月7日到期</w:t>
      </w:r>
      <w:r>
        <w:rPr>
          <w:color w:val="000000"/>
          <w:sz w:val="21"/>
          <w:szCs w:val="21"/>
        </w:rPr>
        <w:t>。</w:t>
      </w:r>
    </w:p>
    <w:p w14:paraId="06B36E50">
      <w:pPr>
        <w:spacing w:line="360" w:lineRule="auto"/>
        <w:ind w:firstLine="420" w:firstLineChars="200"/>
        <w:rPr>
          <w:color w:val="000000"/>
          <w:sz w:val="21"/>
          <w:szCs w:val="21"/>
        </w:rPr>
      </w:pPr>
    </w:p>
    <w:p w14:paraId="20B974BC">
      <w:pPr>
        <w:widowControl/>
        <w:numPr>
          <w:ilvl w:val="0"/>
          <w:numId w:val="2"/>
        </w:numPr>
        <w:snapToGrid w:val="0"/>
        <w:spacing w:line="360" w:lineRule="auto"/>
        <w:ind w:firstLine="420" w:firstLineChars="200"/>
        <w:jc w:val="left"/>
        <w:rPr>
          <w:color w:val="000000"/>
          <w:sz w:val="21"/>
          <w:szCs w:val="21"/>
        </w:rPr>
      </w:pPr>
      <w:r>
        <w:rPr>
          <w:rFonts w:hint="eastAsia"/>
          <w:color w:val="000000"/>
          <w:sz w:val="21"/>
          <w:szCs w:val="21"/>
        </w:rPr>
        <w:t>建设目标</w:t>
      </w:r>
    </w:p>
    <w:p w14:paraId="34FA313D">
      <w:pPr>
        <w:numPr>
          <w:ilvl w:val="0"/>
          <w:numId w:val="3"/>
        </w:numPr>
        <w:spacing w:line="360" w:lineRule="auto"/>
        <w:ind w:left="425" w:leftChars="0" w:hanging="425" w:firstLineChars="0"/>
        <w:rPr>
          <w:rFonts w:ascii="宋体" w:hAnsi="宋体" w:eastAsia="宋体" w:cs="宋体"/>
          <w:color w:val="000000"/>
          <w:sz w:val="21"/>
          <w:szCs w:val="21"/>
          <w:lang w:val="en-US"/>
        </w:rPr>
      </w:pPr>
      <w:r>
        <w:rPr>
          <w:rFonts w:hint="eastAsia" w:ascii="宋体" w:hAnsi="宋体" w:eastAsia="宋体" w:cs="宋体"/>
          <w:color w:val="000000"/>
          <w:sz w:val="21"/>
          <w:szCs w:val="21"/>
          <w:lang w:val="en-US"/>
        </w:rPr>
        <w:t>互联网线路可与医院现有电路实现主备负载均衡</w:t>
      </w:r>
      <w:r>
        <w:rPr>
          <w:rFonts w:hint="eastAsia" w:ascii="宋体" w:hAnsi="宋体" w:eastAsia="宋体" w:cs="宋体"/>
          <w:color w:val="000000"/>
          <w:sz w:val="21"/>
          <w:szCs w:val="21"/>
          <w:lang w:val="en-US" w:eastAsia="zh-CN"/>
        </w:rPr>
        <w:t>，提升医院对外业务稳定性、可靠性</w:t>
      </w:r>
      <w:r>
        <w:rPr>
          <w:rFonts w:ascii="宋体" w:hAnsi="宋体" w:eastAsia="宋体" w:cs="宋体"/>
          <w:color w:val="000000"/>
          <w:sz w:val="21"/>
          <w:szCs w:val="21"/>
          <w:lang w:val="en-US"/>
        </w:rPr>
        <w:t>。</w:t>
      </w:r>
    </w:p>
    <w:p w14:paraId="6F039327">
      <w:pPr>
        <w:numPr>
          <w:ilvl w:val="0"/>
          <w:numId w:val="3"/>
        </w:numPr>
        <w:spacing w:line="360" w:lineRule="auto"/>
        <w:ind w:left="425" w:leftChars="0" w:hanging="425" w:firstLineChars="0"/>
        <w:rPr>
          <w:rFonts w:ascii="宋体" w:hAnsi="宋体" w:eastAsia="宋体" w:cs="宋体"/>
          <w:color w:val="000000"/>
          <w:sz w:val="21"/>
          <w:szCs w:val="21"/>
          <w:lang w:val="en-US"/>
        </w:rPr>
      </w:pPr>
      <w:r>
        <w:rPr>
          <w:rFonts w:hint="eastAsia" w:ascii="宋体" w:hAnsi="宋体" w:eastAsia="宋体" w:cs="宋体"/>
          <w:color w:val="000000"/>
          <w:sz w:val="21"/>
          <w:szCs w:val="21"/>
          <w:lang w:val="en-US"/>
        </w:rPr>
        <w:t>官网</w:t>
      </w:r>
      <w:r>
        <w:rPr>
          <w:rFonts w:hint="eastAsia" w:ascii="宋体" w:hAnsi="宋体" w:eastAsia="宋体" w:cs="宋体"/>
          <w:color w:val="000000"/>
          <w:sz w:val="21"/>
          <w:szCs w:val="21"/>
          <w:lang w:val="en-US" w:eastAsia="zh-CN"/>
        </w:rPr>
        <w:t>部署</w:t>
      </w:r>
      <w:r>
        <w:rPr>
          <w:rFonts w:hint="eastAsia" w:ascii="宋体" w:hAnsi="宋体" w:eastAsia="宋体" w:cs="宋体"/>
          <w:color w:val="000000"/>
          <w:sz w:val="21"/>
          <w:szCs w:val="21"/>
          <w:lang w:val="en-US"/>
        </w:rPr>
        <w:t>到中山市政务云，能正常提供服务，并定期提供安全巡检、漏洞检查报告，保障医院互联网业务安全稳定运行。</w:t>
      </w:r>
    </w:p>
    <w:p w14:paraId="37FD32B7">
      <w:pPr>
        <w:widowControl/>
        <w:snapToGrid w:val="0"/>
        <w:spacing w:line="360" w:lineRule="auto"/>
        <w:jc w:val="left"/>
      </w:pPr>
    </w:p>
    <w:p w14:paraId="74F9D811">
      <w:pPr>
        <w:widowControl/>
        <w:snapToGrid w:val="0"/>
        <w:spacing w:line="360" w:lineRule="auto"/>
        <w:jc w:val="left"/>
        <w:rPr>
          <w:b/>
          <w:sz w:val="21"/>
          <w:szCs w:val="21"/>
        </w:rPr>
      </w:pPr>
      <w:r>
        <w:rPr>
          <w:b/>
          <w:sz w:val="21"/>
          <w:szCs w:val="21"/>
        </w:rPr>
        <w:t>二、</w:t>
      </w:r>
      <w:r>
        <w:rPr>
          <w:rFonts w:hint="eastAsia"/>
          <w:b/>
          <w:sz w:val="21"/>
          <w:szCs w:val="21"/>
        </w:rPr>
        <w:t>项目建设内容</w:t>
      </w:r>
    </w:p>
    <w:p w14:paraId="6EB7C5ED">
      <w:pPr>
        <w:widowControl/>
        <w:snapToGrid w:val="0"/>
        <w:spacing w:line="360" w:lineRule="auto"/>
        <w:jc w:val="left"/>
        <w:rPr>
          <w:rFonts w:hint="default" w:eastAsia="宋体"/>
          <w:b/>
          <w:sz w:val="21"/>
          <w:szCs w:val="21"/>
          <w:lang w:val="en-US" w:eastAsia="zh-CN"/>
        </w:rPr>
      </w:pPr>
      <w:r>
        <w:rPr>
          <w:rFonts w:hint="eastAsia"/>
          <w:b/>
          <w:sz w:val="21"/>
          <w:szCs w:val="21"/>
        </w:rPr>
        <w:t>1、项目</w:t>
      </w:r>
      <w:r>
        <w:rPr>
          <w:rFonts w:hint="eastAsia"/>
          <w:b/>
          <w:sz w:val="21"/>
          <w:szCs w:val="21"/>
          <w:lang w:val="en-US" w:eastAsia="zh-CN"/>
        </w:rPr>
        <w:t>质保</w:t>
      </w:r>
    </w:p>
    <w:tbl>
      <w:tblPr>
        <w:tblStyle w:val="11"/>
        <w:tblW w:w="860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4"/>
        <w:gridCol w:w="6534"/>
      </w:tblGrid>
      <w:tr w14:paraId="1BA97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4" w:type="dxa"/>
          </w:tcPr>
          <w:p w14:paraId="638A855F">
            <w:pPr>
              <w:widowControl/>
              <w:jc w:val="center"/>
              <w:rPr>
                <w:rFonts w:ascii="微软雅黑" w:hAnsi="微软雅黑" w:eastAsia="微软雅黑"/>
                <w:b/>
                <w:bCs/>
                <w:color w:val="000000"/>
              </w:rPr>
            </w:pPr>
            <w:r>
              <w:rPr>
                <w:rFonts w:hint="eastAsia" w:ascii="微软雅黑" w:hAnsi="微软雅黑" w:eastAsia="微软雅黑"/>
                <w:b/>
                <w:color w:val="000000"/>
                <w:kern w:val="2"/>
                <w:lang w:bidi="ar"/>
              </w:rPr>
              <w:t>产品质保和服务期</w:t>
            </w:r>
          </w:p>
        </w:tc>
        <w:tc>
          <w:tcPr>
            <w:tcW w:w="6534" w:type="dxa"/>
            <w:vAlign w:val="center"/>
          </w:tcPr>
          <w:p w14:paraId="7693C075">
            <w:pPr>
              <w:ind w:firstLine="400" w:firstLineChars="200"/>
              <w:jc w:val="center"/>
              <w:rPr>
                <w:szCs w:val="21"/>
              </w:rPr>
            </w:pPr>
            <w:r>
              <w:rPr>
                <w:rFonts w:hint="eastAsia"/>
                <w:szCs w:val="21"/>
                <w:lang w:val="en-US" w:eastAsia="zh-CN"/>
              </w:rPr>
              <w:t>二</w:t>
            </w:r>
            <w:r>
              <w:rPr>
                <w:rFonts w:hint="eastAsia"/>
                <w:szCs w:val="21"/>
              </w:rPr>
              <w:t>年</w:t>
            </w:r>
          </w:p>
        </w:tc>
      </w:tr>
    </w:tbl>
    <w:p w14:paraId="0E71C8A9">
      <w:pPr>
        <w:widowControl/>
        <w:snapToGrid w:val="0"/>
        <w:spacing w:line="360" w:lineRule="auto"/>
        <w:jc w:val="left"/>
        <w:rPr>
          <w:b/>
          <w:sz w:val="21"/>
          <w:szCs w:val="21"/>
        </w:rPr>
      </w:pPr>
    </w:p>
    <w:p w14:paraId="53A9E994">
      <w:pPr>
        <w:widowControl/>
        <w:snapToGrid w:val="0"/>
        <w:spacing w:line="360" w:lineRule="auto"/>
        <w:jc w:val="left"/>
        <w:rPr>
          <w:b/>
          <w:sz w:val="21"/>
          <w:szCs w:val="21"/>
        </w:rPr>
      </w:pPr>
      <w:r>
        <w:rPr>
          <w:b/>
          <w:sz w:val="21"/>
          <w:szCs w:val="21"/>
        </w:rPr>
        <w:t>2、</w:t>
      </w:r>
      <w:r>
        <w:rPr>
          <w:rFonts w:hint="eastAsia"/>
          <w:b/>
          <w:sz w:val="21"/>
          <w:szCs w:val="21"/>
        </w:rPr>
        <w:t>服务</w:t>
      </w:r>
      <w:r>
        <w:rPr>
          <w:b/>
          <w:sz w:val="21"/>
          <w:szCs w:val="21"/>
        </w:rPr>
        <w:t>清单</w:t>
      </w:r>
    </w:p>
    <w:tbl>
      <w:tblPr>
        <w:tblStyle w:val="10"/>
        <w:tblW w:w="8623" w:type="dxa"/>
        <w:tblInd w:w="93" w:type="dxa"/>
        <w:tblLayout w:type="autofit"/>
        <w:tblCellMar>
          <w:top w:w="0" w:type="dxa"/>
          <w:left w:w="108" w:type="dxa"/>
          <w:bottom w:w="0" w:type="dxa"/>
          <w:right w:w="108" w:type="dxa"/>
        </w:tblCellMar>
      </w:tblPr>
      <w:tblGrid>
        <w:gridCol w:w="1004"/>
        <w:gridCol w:w="5107"/>
        <w:gridCol w:w="1275"/>
        <w:gridCol w:w="1237"/>
      </w:tblGrid>
      <w:tr w14:paraId="5D78FD59">
        <w:tblPrEx>
          <w:tblCellMar>
            <w:top w:w="0" w:type="dxa"/>
            <w:left w:w="108" w:type="dxa"/>
            <w:bottom w:w="0" w:type="dxa"/>
            <w:right w:w="108" w:type="dxa"/>
          </w:tblCellMar>
        </w:tblPrEx>
        <w:trPr>
          <w:trHeight w:val="720" w:hRule="atLeast"/>
        </w:trPr>
        <w:tc>
          <w:tcPr>
            <w:tcW w:w="1004" w:type="dxa"/>
            <w:tcBorders>
              <w:top w:val="single" w:color="auto" w:sz="4" w:space="0"/>
              <w:left w:val="single" w:color="auto" w:sz="4" w:space="0"/>
              <w:bottom w:val="single" w:color="auto" w:sz="4" w:space="0"/>
              <w:right w:val="single" w:color="auto" w:sz="4" w:space="0"/>
            </w:tcBorders>
            <w:shd w:val="clear" w:color="auto" w:fill="auto"/>
            <w:vAlign w:val="center"/>
          </w:tcPr>
          <w:p w14:paraId="3DA8DF03">
            <w:pPr>
              <w:widowControl/>
              <w:jc w:val="center"/>
              <w:rPr>
                <w:rFonts w:ascii="微软雅黑" w:hAnsi="微软雅黑" w:eastAsia="微软雅黑"/>
                <w:b/>
                <w:bCs/>
                <w:color w:val="000000"/>
              </w:rPr>
            </w:pPr>
            <w:r>
              <w:rPr>
                <w:rFonts w:hint="eastAsia" w:ascii="微软雅黑" w:hAnsi="微软雅黑" w:eastAsia="微软雅黑"/>
                <w:b/>
                <w:bCs/>
                <w:color w:val="000000"/>
              </w:rPr>
              <w:t>服务</w:t>
            </w:r>
          </w:p>
        </w:tc>
        <w:tc>
          <w:tcPr>
            <w:tcW w:w="5107" w:type="dxa"/>
            <w:tcBorders>
              <w:top w:val="single" w:color="auto" w:sz="4" w:space="0"/>
              <w:left w:val="nil"/>
              <w:bottom w:val="single" w:color="auto" w:sz="4" w:space="0"/>
              <w:right w:val="single" w:color="auto" w:sz="4" w:space="0"/>
            </w:tcBorders>
            <w:shd w:val="clear" w:color="auto" w:fill="auto"/>
            <w:vAlign w:val="center"/>
          </w:tcPr>
          <w:p w14:paraId="5F9B9746">
            <w:pPr>
              <w:widowControl/>
              <w:jc w:val="center"/>
              <w:rPr>
                <w:rFonts w:ascii="微软雅黑" w:hAnsi="微软雅黑" w:eastAsia="微软雅黑"/>
                <w:b/>
                <w:bCs/>
                <w:color w:val="000000"/>
              </w:rPr>
            </w:pPr>
            <w:r>
              <w:rPr>
                <w:rFonts w:hint="eastAsia" w:ascii="微软雅黑" w:hAnsi="微软雅黑" w:eastAsia="微软雅黑"/>
                <w:b/>
                <w:bCs/>
                <w:color w:val="000000"/>
              </w:rPr>
              <w:t>参数要求</w:t>
            </w:r>
          </w:p>
        </w:tc>
        <w:tc>
          <w:tcPr>
            <w:tcW w:w="1275" w:type="dxa"/>
            <w:tcBorders>
              <w:top w:val="single" w:color="auto" w:sz="4" w:space="0"/>
              <w:left w:val="nil"/>
              <w:bottom w:val="single" w:color="auto" w:sz="4" w:space="0"/>
              <w:right w:val="single" w:color="auto" w:sz="4" w:space="0"/>
            </w:tcBorders>
            <w:shd w:val="clear" w:color="auto" w:fill="auto"/>
            <w:vAlign w:val="center"/>
          </w:tcPr>
          <w:p w14:paraId="6866B26A">
            <w:pPr>
              <w:widowControl/>
              <w:jc w:val="center"/>
              <w:rPr>
                <w:rFonts w:ascii="微软雅黑" w:hAnsi="微软雅黑" w:eastAsia="微软雅黑"/>
                <w:b/>
                <w:bCs/>
                <w:color w:val="000000"/>
              </w:rPr>
            </w:pPr>
            <w:r>
              <w:rPr>
                <w:rFonts w:hint="eastAsia" w:ascii="微软雅黑" w:hAnsi="微软雅黑" w:eastAsia="微软雅黑"/>
                <w:b/>
                <w:bCs/>
                <w:color w:val="000000"/>
              </w:rPr>
              <w:t>单位</w:t>
            </w:r>
          </w:p>
        </w:tc>
        <w:tc>
          <w:tcPr>
            <w:tcW w:w="1237" w:type="dxa"/>
            <w:tcBorders>
              <w:top w:val="single" w:color="auto" w:sz="4" w:space="0"/>
              <w:left w:val="nil"/>
              <w:bottom w:val="single" w:color="auto" w:sz="4" w:space="0"/>
              <w:right w:val="single" w:color="auto" w:sz="4" w:space="0"/>
            </w:tcBorders>
            <w:shd w:val="clear" w:color="auto" w:fill="auto"/>
            <w:vAlign w:val="center"/>
          </w:tcPr>
          <w:p w14:paraId="4CD5E1C4">
            <w:pPr>
              <w:widowControl/>
              <w:jc w:val="center"/>
              <w:rPr>
                <w:rFonts w:ascii="微软雅黑" w:hAnsi="微软雅黑" w:eastAsia="微软雅黑"/>
                <w:b/>
                <w:bCs/>
                <w:color w:val="000000"/>
              </w:rPr>
            </w:pPr>
            <w:r>
              <w:rPr>
                <w:rFonts w:hint="eastAsia" w:ascii="微软雅黑" w:hAnsi="微软雅黑" w:eastAsia="微软雅黑"/>
                <w:b/>
                <w:bCs/>
                <w:color w:val="000000"/>
              </w:rPr>
              <w:t>数量</w:t>
            </w:r>
          </w:p>
        </w:tc>
      </w:tr>
      <w:tr w14:paraId="5989C1B8">
        <w:tblPrEx>
          <w:tblCellMar>
            <w:top w:w="0" w:type="dxa"/>
            <w:left w:w="108" w:type="dxa"/>
            <w:bottom w:w="0" w:type="dxa"/>
            <w:right w:w="108" w:type="dxa"/>
          </w:tblCellMar>
        </w:tblPrEx>
        <w:trPr>
          <w:trHeight w:val="660" w:hRule="atLeast"/>
        </w:trPr>
        <w:tc>
          <w:tcPr>
            <w:tcW w:w="8623"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48680B3E">
            <w:pPr>
              <w:widowControl/>
              <w:jc w:val="left"/>
              <w:rPr>
                <w:rFonts w:ascii="微软雅黑" w:hAnsi="微软雅黑" w:eastAsia="微软雅黑"/>
                <w:b/>
                <w:bCs/>
                <w:color w:val="000000"/>
              </w:rPr>
            </w:pPr>
            <w:r>
              <w:rPr>
                <w:rFonts w:hint="eastAsia" w:ascii="微软雅黑" w:hAnsi="微软雅黑" w:eastAsia="微软雅黑"/>
                <w:b/>
                <w:bCs/>
                <w:color w:val="000000"/>
              </w:rPr>
              <w:t>（1）、政务云服务清单</w:t>
            </w:r>
          </w:p>
        </w:tc>
      </w:tr>
      <w:tr w14:paraId="22240CE6">
        <w:tblPrEx>
          <w:tblCellMar>
            <w:top w:w="0" w:type="dxa"/>
            <w:left w:w="108" w:type="dxa"/>
            <w:bottom w:w="0" w:type="dxa"/>
            <w:right w:w="108" w:type="dxa"/>
          </w:tblCellMar>
        </w:tblPrEx>
        <w:trPr>
          <w:trHeight w:val="405" w:hRule="atLeast"/>
        </w:trPr>
        <w:tc>
          <w:tcPr>
            <w:tcW w:w="1004" w:type="dxa"/>
            <w:tcBorders>
              <w:top w:val="nil"/>
              <w:left w:val="single" w:color="auto" w:sz="4" w:space="0"/>
              <w:bottom w:val="single" w:color="auto" w:sz="4" w:space="0"/>
              <w:right w:val="single" w:color="auto" w:sz="4" w:space="0"/>
            </w:tcBorders>
            <w:shd w:val="clear" w:color="auto" w:fill="auto"/>
            <w:vAlign w:val="center"/>
          </w:tcPr>
          <w:p w14:paraId="05DD376E">
            <w:pPr>
              <w:widowControl/>
              <w:jc w:val="center"/>
            </w:pPr>
            <w:r>
              <w:rPr>
                <w:rFonts w:hint="eastAsia"/>
              </w:rPr>
              <w:t>云</w:t>
            </w:r>
            <w:r>
              <w:t>资源</w:t>
            </w:r>
          </w:p>
        </w:tc>
        <w:tc>
          <w:tcPr>
            <w:tcW w:w="5107" w:type="dxa"/>
            <w:tcBorders>
              <w:top w:val="nil"/>
              <w:left w:val="nil"/>
              <w:bottom w:val="single" w:color="auto" w:sz="4" w:space="0"/>
              <w:right w:val="single" w:color="auto" w:sz="4" w:space="0"/>
            </w:tcBorders>
            <w:shd w:val="clear" w:color="auto" w:fill="auto"/>
            <w:vAlign w:val="center"/>
          </w:tcPr>
          <w:p w14:paraId="5AC2E46A">
            <w:pPr>
              <w:widowControl/>
              <w:jc w:val="left"/>
            </w:pPr>
            <w:r>
              <w:rPr>
                <w:rFonts w:ascii="仿宋" w:hAnsi="仿宋" w:eastAsia="仿宋"/>
                <w:sz w:val="22"/>
              </w:rPr>
              <w:t>8核CPU/16G内存/1T存储/100M互联网带宽/1个IP地址、</w:t>
            </w:r>
            <w:r>
              <w:rPr>
                <w:rFonts w:hint="eastAsia" w:ascii="仿宋" w:hAnsi="仿宋" w:eastAsia="仿宋"/>
                <w:sz w:val="22"/>
              </w:rPr>
              <w:t>0penEuler64位标准版系统或其他满足信创要求的操作系统)</w:t>
            </w:r>
          </w:p>
        </w:tc>
        <w:tc>
          <w:tcPr>
            <w:tcW w:w="1275" w:type="dxa"/>
            <w:tcBorders>
              <w:top w:val="nil"/>
              <w:left w:val="nil"/>
              <w:bottom w:val="single" w:color="auto" w:sz="4" w:space="0"/>
              <w:right w:val="single" w:color="auto" w:sz="4" w:space="0"/>
            </w:tcBorders>
            <w:shd w:val="clear" w:color="auto" w:fill="auto"/>
            <w:vAlign w:val="center"/>
          </w:tcPr>
          <w:p w14:paraId="148B66F3">
            <w:pPr>
              <w:widowControl/>
              <w:jc w:val="center"/>
            </w:pPr>
            <w:r>
              <w:rPr>
                <w:rFonts w:hint="eastAsia"/>
              </w:rPr>
              <w:t>台</w:t>
            </w:r>
          </w:p>
        </w:tc>
        <w:tc>
          <w:tcPr>
            <w:tcW w:w="1237" w:type="dxa"/>
            <w:tcBorders>
              <w:top w:val="nil"/>
              <w:left w:val="nil"/>
              <w:bottom w:val="single" w:color="auto" w:sz="4" w:space="0"/>
              <w:right w:val="single" w:color="auto" w:sz="4" w:space="0"/>
            </w:tcBorders>
            <w:shd w:val="clear" w:color="auto" w:fill="auto"/>
            <w:vAlign w:val="center"/>
          </w:tcPr>
          <w:p w14:paraId="23DF21F6">
            <w:pPr>
              <w:widowControl/>
              <w:jc w:val="center"/>
            </w:pPr>
            <w:r>
              <w:rPr>
                <w:rFonts w:hint="eastAsia"/>
              </w:rPr>
              <w:t>1</w:t>
            </w:r>
          </w:p>
        </w:tc>
      </w:tr>
      <w:tr w14:paraId="4CA184BC">
        <w:tblPrEx>
          <w:tblCellMar>
            <w:top w:w="0" w:type="dxa"/>
            <w:left w:w="108" w:type="dxa"/>
            <w:bottom w:w="0" w:type="dxa"/>
            <w:right w:w="108" w:type="dxa"/>
          </w:tblCellMar>
        </w:tblPrEx>
        <w:trPr>
          <w:trHeight w:val="405" w:hRule="atLeast"/>
        </w:trPr>
        <w:tc>
          <w:tcPr>
            <w:tcW w:w="1004" w:type="dxa"/>
            <w:tcBorders>
              <w:top w:val="nil"/>
              <w:left w:val="single" w:color="auto" w:sz="4" w:space="0"/>
              <w:bottom w:val="single" w:color="auto" w:sz="4" w:space="0"/>
              <w:right w:val="single" w:color="auto" w:sz="4" w:space="0"/>
            </w:tcBorders>
            <w:shd w:val="clear" w:color="auto" w:fill="auto"/>
            <w:vAlign w:val="center"/>
          </w:tcPr>
          <w:p w14:paraId="579D2A98">
            <w:pPr>
              <w:widowControl/>
              <w:jc w:val="center"/>
            </w:pPr>
            <w:r>
              <w:rPr>
                <w:rFonts w:hint="eastAsia"/>
              </w:rPr>
              <w:t>云</w:t>
            </w:r>
            <w:r>
              <w:t>安全</w:t>
            </w:r>
          </w:p>
        </w:tc>
        <w:tc>
          <w:tcPr>
            <w:tcW w:w="5107" w:type="dxa"/>
            <w:tcBorders>
              <w:top w:val="nil"/>
              <w:left w:val="nil"/>
              <w:bottom w:val="single" w:color="auto" w:sz="4" w:space="0"/>
              <w:right w:val="single" w:color="auto" w:sz="4" w:space="0"/>
            </w:tcBorders>
            <w:shd w:val="clear" w:color="auto" w:fill="auto"/>
            <w:vAlign w:val="center"/>
          </w:tcPr>
          <w:p w14:paraId="3CC6076A">
            <w:pPr>
              <w:widowControl/>
              <w:jc w:val="left"/>
              <w:rPr>
                <w:rFonts w:ascii="仿宋" w:hAnsi="仿宋" w:eastAsia="仿宋"/>
                <w:sz w:val="22"/>
              </w:rPr>
            </w:pPr>
            <w:r>
              <w:rPr>
                <w:rFonts w:hint="eastAsia" w:ascii="仿宋" w:hAnsi="仿宋" w:eastAsia="仿宋"/>
                <w:sz w:val="22"/>
              </w:rPr>
              <w:t>网站云监测平台增值服务、云主机防护、云WAF、综合日志审计服务、数据库安全审计服务、备份客户端、同城异地备份</w:t>
            </w:r>
          </w:p>
        </w:tc>
        <w:tc>
          <w:tcPr>
            <w:tcW w:w="1275" w:type="dxa"/>
            <w:tcBorders>
              <w:top w:val="nil"/>
              <w:left w:val="nil"/>
              <w:bottom w:val="single" w:color="auto" w:sz="4" w:space="0"/>
              <w:right w:val="single" w:color="auto" w:sz="4" w:space="0"/>
            </w:tcBorders>
            <w:shd w:val="clear" w:color="auto" w:fill="auto"/>
            <w:vAlign w:val="center"/>
          </w:tcPr>
          <w:p w14:paraId="0EC62DB7">
            <w:pPr>
              <w:widowControl/>
              <w:jc w:val="center"/>
            </w:pPr>
            <w:r>
              <w:rPr>
                <w:rFonts w:hint="eastAsia"/>
              </w:rPr>
              <w:t>套</w:t>
            </w:r>
          </w:p>
        </w:tc>
        <w:tc>
          <w:tcPr>
            <w:tcW w:w="1237" w:type="dxa"/>
            <w:tcBorders>
              <w:top w:val="nil"/>
              <w:left w:val="nil"/>
              <w:bottom w:val="single" w:color="auto" w:sz="4" w:space="0"/>
              <w:right w:val="single" w:color="auto" w:sz="4" w:space="0"/>
            </w:tcBorders>
            <w:shd w:val="clear" w:color="auto" w:fill="auto"/>
            <w:vAlign w:val="center"/>
          </w:tcPr>
          <w:p w14:paraId="04F78C96">
            <w:pPr>
              <w:widowControl/>
              <w:jc w:val="center"/>
            </w:pPr>
            <w:r>
              <w:rPr>
                <w:rFonts w:hint="eastAsia"/>
              </w:rPr>
              <w:t>1</w:t>
            </w:r>
          </w:p>
        </w:tc>
      </w:tr>
      <w:tr w14:paraId="6E8C5489">
        <w:tblPrEx>
          <w:tblCellMar>
            <w:top w:w="0" w:type="dxa"/>
            <w:left w:w="108" w:type="dxa"/>
            <w:bottom w:w="0" w:type="dxa"/>
            <w:right w:w="108" w:type="dxa"/>
          </w:tblCellMar>
        </w:tblPrEx>
        <w:trPr>
          <w:trHeight w:val="679" w:hRule="atLeast"/>
        </w:trPr>
        <w:tc>
          <w:tcPr>
            <w:tcW w:w="8623"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029A5D0A">
            <w:pPr>
              <w:widowControl/>
              <w:jc w:val="left"/>
              <w:rPr>
                <w:rFonts w:ascii="微软雅黑" w:hAnsi="微软雅黑" w:eastAsia="微软雅黑"/>
                <w:b/>
                <w:bCs/>
                <w:color w:val="000000"/>
              </w:rPr>
            </w:pPr>
            <w:r>
              <w:rPr>
                <w:rFonts w:hint="eastAsia" w:ascii="微软雅黑" w:hAnsi="微软雅黑" w:eastAsia="微软雅黑"/>
                <w:b/>
                <w:bCs/>
                <w:color w:val="000000"/>
              </w:rPr>
              <w:t>（2）、互联网服务清单</w:t>
            </w:r>
          </w:p>
        </w:tc>
      </w:tr>
      <w:tr w14:paraId="609FAE23">
        <w:tblPrEx>
          <w:tblCellMar>
            <w:top w:w="0" w:type="dxa"/>
            <w:left w:w="108" w:type="dxa"/>
            <w:bottom w:w="0" w:type="dxa"/>
            <w:right w:w="108" w:type="dxa"/>
          </w:tblCellMar>
        </w:tblPrEx>
        <w:trPr>
          <w:trHeight w:val="499" w:hRule="atLeast"/>
        </w:trPr>
        <w:tc>
          <w:tcPr>
            <w:tcW w:w="1004" w:type="dxa"/>
            <w:tcBorders>
              <w:top w:val="nil"/>
              <w:left w:val="single" w:color="auto" w:sz="4" w:space="0"/>
              <w:bottom w:val="single" w:color="auto" w:sz="4" w:space="0"/>
              <w:right w:val="single" w:color="auto" w:sz="4" w:space="0"/>
            </w:tcBorders>
            <w:shd w:val="clear" w:color="auto" w:fill="auto"/>
            <w:vAlign w:val="center"/>
          </w:tcPr>
          <w:p w14:paraId="27936CC9">
            <w:pPr>
              <w:widowControl/>
              <w:jc w:val="center"/>
            </w:pPr>
            <w:r>
              <w:rPr>
                <w:rFonts w:hint="eastAsia"/>
              </w:rPr>
              <w:t>互联网</w:t>
            </w:r>
            <w:r>
              <w:t>电路</w:t>
            </w:r>
          </w:p>
        </w:tc>
        <w:tc>
          <w:tcPr>
            <w:tcW w:w="5107" w:type="dxa"/>
            <w:tcBorders>
              <w:top w:val="nil"/>
              <w:left w:val="nil"/>
              <w:bottom w:val="single" w:color="auto" w:sz="4" w:space="0"/>
              <w:right w:val="single" w:color="auto" w:sz="4" w:space="0"/>
            </w:tcBorders>
            <w:shd w:val="clear" w:color="auto" w:fill="auto"/>
            <w:noWrap/>
            <w:vAlign w:val="center"/>
          </w:tcPr>
          <w:p w14:paraId="196C3C5F">
            <w:pPr>
              <w:widowControl/>
              <w:rPr>
                <w:color w:val="000000"/>
                <w:sz w:val="18"/>
                <w:szCs w:val="18"/>
              </w:rPr>
            </w:pPr>
            <w:r>
              <w:rPr>
                <w:rFonts w:hint="eastAsia" w:ascii="仿宋" w:hAnsi="仿宋" w:eastAsia="仿宋"/>
                <w:sz w:val="22"/>
              </w:rPr>
              <w:t>100M对称速率，</w:t>
            </w:r>
            <w:r>
              <w:rPr>
                <w:rFonts w:ascii="仿宋" w:hAnsi="仿宋" w:eastAsia="仿宋"/>
                <w:sz w:val="22"/>
              </w:rPr>
              <w:t>与</w:t>
            </w:r>
            <w:r>
              <w:rPr>
                <w:rFonts w:hint="eastAsia" w:ascii="仿宋" w:hAnsi="仿宋" w:eastAsia="仿宋"/>
                <w:sz w:val="22"/>
                <w:lang w:val="en-US" w:eastAsia="zh-CN"/>
              </w:rPr>
              <w:t>医院</w:t>
            </w:r>
            <w:r>
              <w:rPr>
                <w:rFonts w:ascii="仿宋" w:hAnsi="仿宋" w:eastAsia="仿宋"/>
                <w:sz w:val="22"/>
              </w:rPr>
              <w:t>现有电路</w:t>
            </w:r>
            <w:r>
              <w:rPr>
                <w:rFonts w:hint="eastAsia" w:ascii="仿宋" w:hAnsi="仿宋" w:eastAsia="仿宋"/>
                <w:sz w:val="22"/>
              </w:rPr>
              <w:t>实现</w:t>
            </w:r>
            <w:r>
              <w:rPr>
                <w:rFonts w:ascii="仿宋" w:hAnsi="仿宋" w:eastAsia="仿宋"/>
                <w:sz w:val="22"/>
              </w:rPr>
              <w:t>主备负载均衡</w:t>
            </w:r>
          </w:p>
        </w:tc>
        <w:tc>
          <w:tcPr>
            <w:tcW w:w="1275" w:type="dxa"/>
            <w:tcBorders>
              <w:top w:val="nil"/>
              <w:left w:val="nil"/>
              <w:bottom w:val="single" w:color="auto" w:sz="4" w:space="0"/>
              <w:right w:val="single" w:color="auto" w:sz="4" w:space="0"/>
            </w:tcBorders>
            <w:shd w:val="clear" w:color="auto" w:fill="auto"/>
            <w:vAlign w:val="center"/>
          </w:tcPr>
          <w:p w14:paraId="275E08E9">
            <w:pPr>
              <w:widowControl/>
              <w:jc w:val="center"/>
            </w:pPr>
            <w:r>
              <w:rPr>
                <w:rFonts w:hint="eastAsia"/>
              </w:rPr>
              <w:t>条</w:t>
            </w:r>
          </w:p>
        </w:tc>
        <w:tc>
          <w:tcPr>
            <w:tcW w:w="1237" w:type="dxa"/>
            <w:tcBorders>
              <w:top w:val="nil"/>
              <w:left w:val="nil"/>
              <w:bottom w:val="single" w:color="auto" w:sz="4" w:space="0"/>
              <w:right w:val="single" w:color="auto" w:sz="4" w:space="0"/>
            </w:tcBorders>
            <w:shd w:val="clear" w:color="auto" w:fill="auto"/>
            <w:vAlign w:val="center"/>
          </w:tcPr>
          <w:p w14:paraId="3DCA39C3">
            <w:pPr>
              <w:widowControl/>
              <w:jc w:val="center"/>
            </w:pPr>
            <w:r>
              <w:rPr>
                <w:rFonts w:hint="eastAsia"/>
              </w:rPr>
              <w:t>1</w:t>
            </w:r>
          </w:p>
        </w:tc>
      </w:tr>
    </w:tbl>
    <w:p w14:paraId="69C173BF">
      <w:pPr>
        <w:widowControl/>
        <w:snapToGrid w:val="0"/>
        <w:spacing w:before="120" w:line="360" w:lineRule="auto"/>
        <w:jc w:val="left"/>
        <w:rPr>
          <w:rFonts w:hint="eastAsia" w:ascii="宋体" w:hAnsi="宋体" w:eastAsia="宋体" w:cs="宋体"/>
          <w:bCs/>
          <w:color w:val="FF0000"/>
          <w:sz w:val="21"/>
          <w:szCs w:val="21"/>
        </w:rPr>
      </w:pPr>
      <w:r>
        <w:rPr>
          <w:rFonts w:hint="eastAsia" w:ascii="宋体" w:hAnsi="宋体" w:eastAsia="宋体" w:cs="宋体"/>
          <w:bCs/>
          <w:color w:val="FF0000"/>
          <w:sz w:val="21"/>
          <w:szCs w:val="21"/>
        </w:rPr>
        <w:t>★</w:t>
      </w:r>
      <w:r>
        <w:rPr>
          <w:rFonts w:hint="eastAsia" w:ascii="宋体" w:hAnsi="宋体" w:eastAsia="宋体" w:cs="宋体"/>
          <w:bCs/>
          <w:color w:val="FF0000"/>
          <w:sz w:val="21"/>
          <w:szCs w:val="21"/>
          <w:lang w:eastAsia="zh-CN"/>
        </w:rPr>
        <w:t>供应商</w:t>
      </w:r>
      <w:r>
        <w:rPr>
          <w:rFonts w:hint="eastAsia" w:ascii="宋体" w:hAnsi="宋体" w:eastAsia="宋体" w:cs="宋体"/>
          <w:bCs/>
          <w:color w:val="FF0000"/>
          <w:sz w:val="21"/>
          <w:szCs w:val="21"/>
        </w:rPr>
        <w:t>所投的云平台</w:t>
      </w:r>
      <w:r>
        <w:rPr>
          <w:rFonts w:hint="eastAsia" w:ascii="宋体" w:hAnsi="宋体" w:eastAsia="宋体" w:cs="宋体"/>
          <w:bCs/>
          <w:color w:val="FF0000"/>
          <w:sz w:val="21"/>
          <w:szCs w:val="21"/>
          <w:lang w:val="en-US" w:eastAsia="zh-CN"/>
        </w:rPr>
        <w:t>为符合</w:t>
      </w:r>
      <w:r>
        <w:rPr>
          <w:rFonts w:hint="eastAsia" w:ascii="宋体" w:hAnsi="宋体" w:eastAsia="宋体" w:cs="宋体"/>
          <w:bCs/>
          <w:color w:val="FF0000"/>
          <w:sz w:val="21"/>
          <w:szCs w:val="21"/>
        </w:rPr>
        <w:t>《中山市电子政务云服务平台管理办法》</w:t>
      </w:r>
      <w:r>
        <w:rPr>
          <w:rFonts w:hint="eastAsia" w:ascii="宋体" w:hAnsi="宋体" w:eastAsia="宋体" w:cs="宋体"/>
          <w:bCs/>
          <w:color w:val="FF0000"/>
          <w:sz w:val="21"/>
          <w:szCs w:val="21"/>
          <w:lang w:val="en-US" w:eastAsia="zh-CN"/>
        </w:rPr>
        <w:t>的电子政务云资源池，如因云平台资源池变动需迁移相关服务和数据库，供应商报价需包含配套迁移实施费用。</w:t>
      </w:r>
    </w:p>
    <w:p w14:paraId="656534A6">
      <w:pPr>
        <w:widowControl/>
        <w:snapToGrid w:val="0"/>
        <w:spacing w:line="360" w:lineRule="auto"/>
        <w:jc w:val="left"/>
        <w:rPr>
          <w:b/>
          <w:sz w:val="21"/>
          <w:szCs w:val="21"/>
        </w:rPr>
      </w:pPr>
      <w:r>
        <w:rPr>
          <w:rFonts w:hint="eastAsia"/>
          <w:b/>
          <w:sz w:val="21"/>
          <w:szCs w:val="21"/>
        </w:rPr>
        <w:t>三、商务要求</w:t>
      </w:r>
    </w:p>
    <w:p w14:paraId="659F7C82">
      <w:pPr>
        <w:widowControl/>
        <w:snapToGrid w:val="0"/>
        <w:spacing w:before="120" w:line="360" w:lineRule="auto"/>
        <w:jc w:val="left"/>
        <w:rPr>
          <w:bCs/>
          <w:sz w:val="21"/>
          <w:szCs w:val="21"/>
        </w:rPr>
      </w:pPr>
      <w:r>
        <w:rPr>
          <w:bCs/>
          <w:sz w:val="21"/>
          <w:szCs w:val="21"/>
        </w:rPr>
        <w:t>1、项目验收合格之日起免费保修期为</w:t>
      </w:r>
      <w:r>
        <w:rPr>
          <w:rFonts w:hint="eastAsia"/>
          <w:bCs/>
          <w:sz w:val="21"/>
          <w:szCs w:val="21"/>
          <w:lang w:val="en-US" w:eastAsia="zh-CN"/>
        </w:rPr>
        <w:t>两</w:t>
      </w:r>
      <w:r>
        <w:rPr>
          <w:bCs/>
          <w:sz w:val="21"/>
          <w:szCs w:val="21"/>
        </w:rPr>
        <w:t>年。</w:t>
      </w:r>
    </w:p>
    <w:p w14:paraId="3981D460">
      <w:pPr>
        <w:widowControl/>
        <w:snapToGrid w:val="0"/>
        <w:spacing w:before="120" w:line="360" w:lineRule="auto"/>
        <w:jc w:val="left"/>
        <w:rPr>
          <w:bCs/>
          <w:sz w:val="21"/>
          <w:szCs w:val="21"/>
        </w:rPr>
      </w:pPr>
      <w:r>
        <w:rPr>
          <w:bCs/>
          <w:sz w:val="21"/>
          <w:szCs w:val="21"/>
        </w:rPr>
        <w:t>2、维修响应时间：中标（成交）供应商在接到招标人报修电话或传真后，1 小时内到达现场进行维修或必需的技术服务。并保证在4 小时内排除设备故障。如不能在规定时间内维修好，应提供备用件。</w:t>
      </w:r>
    </w:p>
    <w:p w14:paraId="571D3C99">
      <w:pPr>
        <w:widowControl/>
        <w:snapToGrid w:val="0"/>
        <w:spacing w:before="120" w:line="360" w:lineRule="auto"/>
        <w:jc w:val="left"/>
        <w:rPr>
          <w:bCs/>
          <w:sz w:val="21"/>
          <w:szCs w:val="21"/>
        </w:rPr>
      </w:pPr>
      <w:r>
        <w:rPr>
          <w:bCs/>
          <w:sz w:val="21"/>
          <w:szCs w:val="21"/>
        </w:rPr>
        <w:t>3、保修期内所有服务方式均为中标（成交）供应商上门保修，由此产生的一切费用均由中标（成交）供应商承担。</w:t>
      </w:r>
    </w:p>
    <w:p w14:paraId="794F896E">
      <w:pPr>
        <w:widowControl/>
        <w:snapToGrid w:val="0"/>
        <w:spacing w:before="120" w:line="360" w:lineRule="auto"/>
        <w:jc w:val="left"/>
        <w:rPr>
          <w:bCs/>
          <w:sz w:val="21"/>
          <w:szCs w:val="21"/>
        </w:rPr>
      </w:pPr>
      <w:r>
        <w:rPr>
          <w:bCs/>
          <w:sz w:val="21"/>
          <w:szCs w:val="21"/>
        </w:rPr>
        <w:t>4、供应商在投标文件中须明确列明保修期内的维修、维护工作内容和范围。</w:t>
      </w:r>
    </w:p>
    <w:p w14:paraId="16869B97">
      <w:pPr>
        <w:widowControl/>
        <w:snapToGrid w:val="0"/>
        <w:spacing w:before="120" w:line="360" w:lineRule="auto"/>
        <w:jc w:val="left"/>
        <w:rPr>
          <w:color w:val="000000"/>
          <w:sz w:val="21"/>
          <w:szCs w:val="21"/>
        </w:rPr>
      </w:pPr>
      <w:r>
        <w:rPr>
          <w:bCs/>
          <w:sz w:val="21"/>
          <w:szCs w:val="21"/>
        </w:rPr>
        <w:t>5、供应商须在投标文件中明确列明提供售后技术支持中心的详细资料和操作培训。</w:t>
      </w:r>
    </w:p>
    <w:p w14:paraId="63A2162D">
      <w:pPr>
        <w:widowControl/>
        <w:snapToGrid w:val="0"/>
        <w:spacing w:line="360" w:lineRule="auto"/>
        <w:jc w:val="left"/>
        <w:rPr>
          <w:b/>
          <w:color w:val="000000"/>
          <w:sz w:val="21"/>
          <w:szCs w:val="21"/>
        </w:rPr>
      </w:pPr>
      <w:r>
        <w:rPr>
          <w:rFonts w:hint="eastAsia"/>
          <w:b/>
          <w:color w:val="000000"/>
          <w:sz w:val="21"/>
          <w:szCs w:val="21"/>
        </w:rPr>
        <w:t>四</w:t>
      </w:r>
      <w:r>
        <w:rPr>
          <w:b/>
          <w:color w:val="000000"/>
          <w:sz w:val="21"/>
          <w:szCs w:val="21"/>
        </w:rPr>
        <w:t>、项目基本要求</w:t>
      </w:r>
    </w:p>
    <w:p w14:paraId="0CF6A35E">
      <w:pPr>
        <w:widowControl/>
        <w:numPr>
          <w:ilvl w:val="0"/>
          <w:numId w:val="4"/>
        </w:numPr>
        <w:tabs>
          <w:tab w:val="left" w:pos="426"/>
        </w:tabs>
        <w:snapToGrid w:val="0"/>
        <w:spacing w:line="360" w:lineRule="auto"/>
        <w:ind w:firstLine="420"/>
        <w:rPr>
          <w:sz w:val="21"/>
          <w:szCs w:val="21"/>
        </w:rPr>
      </w:pPr>
      <w:r>
        <w:rPr>
          <w:sz w:val="21"/>
          <w:szCs w:val="21"/>
        </w:rPr>
        <w:t>投标人应提供符合国家及用户提出的有关质量标准的</w:t>
      </w:r>
      <w:r>
        <w:rPr>
          <w:rFonts w:hint="eastAsia"/>
          <w:sz w:val="21"/>
          <w:szCs w:val="21"/>
        </w:rPr>
        <w:t>服务</w:t>
      </w:r>
      <w:r>
        <w:rPr>
          <w:sz w:val="21"/>
          <w:szCs w:val="21"/>
        </w:rPr>
        <w:t>，</w:t>
      </w:r>
      <w:r>
        <w:rPr>
          <w:rFonts w:hint="eastAsia"/>
          <w:sz w:val="21"/>
          <w:szCs w:val="21"/>
        </w:rPr>
        <w:t>如果在验收过程中发现交付物存在不符合标准</w:t>
      </w:r>
      <w:r>
        <w:rPr>
          <w:sz w:val="21"/>
          <w:szCs w:val="21"/>
        </w:rPr>
        <w:t>的情况</w:t>
      </w:r>
      <w:r>
        <w:rPr>
          <w:rFonts w:hint="eastAsia"/>
          <w:sz w:val="21"/>
          <w:szCs w:val="21"/>
        </w:rPr>
        <w:t>，招标人有权取消合同</w:t>
      </w:r>
      <w:r>
        <w:rPr>
          <w:sz w:val="21"/>
          <w:szCs w:val="21"/>
        </w:rPr>
        <w:t>。</w:t>
      </w:r>
    </w:p>
    <w:p w14:paraId="349BD3DD">
      <w:pPr>
        <w:widowControl/>
        <w:numPr>
          <w:ilvl w:val="0"/>
          <w:numId w:val="4"/>
        </w:numPr>
        <w:tabs>
          <w:tab w:val="left" w:pos="426"/>
        </w:tabs>
        <w:snapToGrid w:val="0"/>
        <w:spacing w:line="360" w:lineRule="auto"/>
        <w:ind w:firstLine="420"/>
        <w:rPr>
          <w:sz w:val="21"/>
          <w:szCs w:val="21"/>
        </w:rPr>
      </w:pPr>
      <w:r>
        <w:rPr>
          <w:sz w:val="21"/>
          <w:szCs w:val="21"/>
        </w:rPr>
        <w:t>投标人所提供</w:t>
      </w:r>
      <w:r>
        <w:rPr>
          <w:rFonts w:hint="eastAsia"/>
          <w:sz w:val="21"/>
          <w:szCs w:val="21"/>
        </w:rPr>
        <w:t>服务</w:t>
      </w:r>
      <w:r>
        <w:rPr>
          <w:sz w:val="21"/>
          <w:szCs w:val="21"/>
        </w:rPr>
        <w:t>的性能，配置参数等不能低于招标文件所提出的要求。</w:t>
      </w:r>
    </w:p>
    <w:p w14:paraId="552E86F4">
      <w:pPr>
        <w:widowControl/>
        <w:numPr>
          <w:ilvl w:val="0"/>
          <w:numId w:val="4"/>
        </w:numPr>
        <w:tabs>
          <w:tab w:val="left" w:pos="426"/>
        </w:tabs>
        <w:snapToGrid w:val="0"/>
        <w:spacing w:line="360" w:lineRule="auto"/>
        <w:ind w:firstLine="420"/>
        <w:rPr>
          <w:sz w:val="21"/>
          <w:szCs w:val="21"/>
        </w:rPr>
      </w:pPr>
      <w:r>
        <w:rPr>
          <w:sz w:val="21"/>
          <w:szCs w:val="21"/>
        </w:rPr>
        <w:t>投标人应根据招标范围列表的内容在技术规格对比表中逐项应答，并在分项报价表中提供投标</w:t>
      </w:r>
      <w:r>
        <w:rPr>
          <w:rFonts w:hint="eastAsia"/>
          <w:sz w:val="21"/>
          <w:szCs w:val="21"/>
        </w:rPr>
        <w:t>服务清单</w:t>
      </w:r>
      <w:r>
        <w:rPr>
          <w:sz w:val="21"/>
          <w:szCs w:val="21"/>
        </w:rPr>
        <w:t>的技术性能参数等详细的技术资料。</w:t>
      </w:r>
    </w:p>
    <w:p w14:paraId="69CDE274">
      <w:pPr>
        <w:widowControl/>
        <w:numPr>
          <w:ilvl w:val="0"/>
          <w:numId w:val="4"/>
        </w:numPr>
        <w:tabs>
          <w:tab w:val="left" w:pos="426"/>
        </w:tabs>
        <w:snapToGrid w:val="0"/>
        <w:spacing w:line="360" w:lineRule="auto"/>
        <w:ind w:firstLine="420"/>
        <w:rPr>
          <w:sz w:val="21"/>
          <w:szCs w:val="21"/>
        </w:rPr>
      </w:pPr>
      <w:r>
        <w:rPr>
          <w:sz w:val="21"/>
          <w:szCs w:val="21"/>
        </w:rPr>
        <w:t>投标人须承担所供</w:t>
      </w:r>
      <w:r>
        <w:rPr>
          <w:rFonts w:hint="eastAsia"/>
          <w:sz w:val="21"/>
          <w:szCs w:val="21"/>
        </w:rPr>
        <w:t>服务</w:t>
      </w:r>
      <w:r>
        <w:rPr>
          <w:sz w:val="21"/>
          <w:szCs w:val="21"/>
        </w:rPr>
        <w:t>牵涉的知识产权等法律责任。</w:t>
      </w:r>
    </w:p>
    <w:p w14:paraId="56516A9D">
      <w:pPr>
        <w:widowControl/>
        <w:numPr>
          <w:ilvl w:val="0"/>
          <w:numId w:val="4"/>
        </w:numPr>
        <w:tabs>
          <w:tab w:val="left" w:pos="426"/>
        </w:tabs>
        <w:snapToGrid w:val="0"/>
        <w:spacing w:line="360" w:lineRule="auto"/>
        <w:ind w:firstLine="420"/>
        <w:rPr>
          <w:sz w:val="21"/>
          <w:szCs w:val="21"/>
        </w:rPr>
      </w:pPr>
      <w:r>
        <w:rPr>
          <w:sz w:val="21"/>
          <w:szCs w:val="21"/>
        </w:rPr>
        <w:t>本用户需求中的有关要求，投标人没有在投标文件中注明偏离（文字说明或在技术、商务偏离表注明）的参数、配置、条款视为被投标人完全接受。</w:t>
      </w:r>
    </w:p>
    <w:p w14:paraId="66F03D6E">
      <w:pPr>
        <w:widowControl/>
        <w:numPr>
          <w:ilvl w:val="0"/>
          <w:numId w:val="4"/>
        </w:numPr>
        <w:tabs>
          <w:tab w:val="left" w:pos="426"/>
        </w:tabs>
        <w:snapToGrid w:val="0"/>
        <w:spacing w:line="360" w:lineRule="auto"/>
        <w:ind w:firstLine="420"/>
        <w:rPr>
          <w:sz w:val="21"/>
          <w:szCs w:val="21"/>
        </w:rPr>
      </w:pPr>
      <w:r>
        <w:rPr>
          <w:sz w:val="21"/>
          <w:szCs w:val="21"/>
        </w:rPr>
        <w:t>本项目要求中如有出现工艺、材料、设备或参照的品牌仅为方便描述而没有限制性，供应商可以在其提供的文件资料中选用替代标准，但这些替代标准必须相当于或优于本用户需求书的标准。</w:t>
      </w:r>
    </w:p>
    <w:p w14:paraId="6BE01DC4">
      <w:pPr>
        <w:widowControl/>
        <w:numPr>
          <w:ilvl w:val="0"/>
          <w:numId w:val="4"/>
        </w:numPr>
        <w:tabs>
          <w:tab w:val="left" w:pos="426"/>
        </w:tabs>
        <w:snapToGrid w:val="0"/>
        <w:spacing w:line="360" w:lineRule="auto"/>
        <w:ind w:firstLine="420"/>
        <w:rPr>
          <w:sz w:val="21"/>
          <w:szCs w:val="21"/>
        </w:rPr>
      </w:pPr>
      <w:r>
        <w:rPr>
          <w:sz w:val="21"/>
          <w:szCs w:val="21"/>
        </w:rPr>
        <w:t>投标人须在投标文件中填写《用户需求条款响应表》，当投标文件中技术参数与招标文件中技术参数有偏离时，须在“偏离”栏内如实注明是“正偏离”或“负偏离”，“正偏离”指投标设备的技术参数优于招标文件中要求，“负 偏离”指投标设备的技术参数低于招标文件中要求。</w:t>
      </w:r>
    </w:p>
    <w:p w14:paraId="23514A69">
      <w:pPr>
        <w:widowControl/>
        <w:numPr>
          <w:ilvl w:val="0"/>
          <w:numId w:val="4"/>
        </w:numPr>
        <w:tabs>
          <w:tab w:val="left" w:pos="426"/>
        </w:tabs>
        <w:snapToGrid w:val="0"/>
        <w:spacing w:line="360" w:lineRule="auto"/>
        <w:ind w:firstLine="420"/>
        <w:rPr>
          <w:sz w:val="21"/>
          <w:szCs w:val="21"/>
        </w:rPr>
      </w:pPr>
      <w:r>
        <w:rPr>
          <w:sz w:val="21"/>
          <w:szCs w:val="21"/>
        </w:rPr>
        <w:t>投标人必须确保</w:t>
      </w:r>
      <w:r>
        <w:rPr>
          <w:rFonts w:hint="eastAsia"/>
          <w:sz w:val="21"/>
          <w:szCs w:val="21"/>
        </w:rPr>
        <w:t>服务</w:t>
      </w:r>
      <w:r>
        <w:rPr>
          <w:sz w:val="21"/>
          <w:szCs w:val="21"/>
        </w:rPr>
        <w:t>及所有配套件的完整性和可靠性。对于招标文件没有列出，而对该</w:t>
      </w:r>
      <w:r>
        <w:rPr>
          <w:rFonts w:hint="eastAsia"/>
          <w:sz w:val="21"/>
          <w:szCs w:val="21"/>
        </w:rPr>
        <w:t>服务</w:t>
      </w:r>
      <w:r>
        <w:rPr>
          <w:sz w:val="21"/>
          <w:szCs w:val="21"/>
        </w:rPr>
        <w:t>的正常运行和维护必不可少的部件、配件等，投标人有责任给予补充。</w:t>
      </w:r>
    </w:p>
    <w:p w14:paraId="06C09E8E">
      <w:pPr>
        <w:widowControl/>
        <w:numPr>
          <w:ilvl w:val="0"/>
          <w:numId w:val="4"/>
        </w:numPr>
        <w:tabs>
          <w:tab w:val="left" w:pos="426"/>
        </w:tabs>
        <w:snapToGrid w:val="0"/>
        <w:spacing w:line="360" w:lineRule="auto"/>
        <w:ind w:firstLine="420"/>
        <w:rPr>
          <w:sz w:val="21"/>
          <w:szCs w:val="21"/>
        </w:rPr>
      </w:pPr>
      <w:r>
        <w:rPr>
          <w:sz w:val="21"/>
          <w:szCs w:val="21"/>
        </w:rPr>
        <w:t>投标人须承诺在项目预中标后，可根据用户要求提供项目投标所使用</w:t>
      </w:r>
      <w:r>
        <w:rPr>
          <w:rFonts w:hint="eastAsia"/>
          <w:sz w:val="21"/>
          <w:szCs w:val="21"/>
        </w:rPr>
        <w:t>服务清单</w:t>
      </w:r>
      <w:r>
        <w:rPr>
          <w:sz w:val="21"/>
          <w:szCs w:val="21"/>
        </w:rPr>
        <w:t>进行实际功能测试，用户保留对招标要求中的参数</w:t>
      </w:r>
      <w:r>
        <w:rPr>
          <w:rFonts w:hint="eastAsia"/>
          <w:sz w:val="21"/>
          <w:szCs w:val="21"/>
        </w:rPr>
        <w:t>清单</w:t>
      </w:r>
      <w:r>
        <w:rPr>
          <w:sz w:val="21"/>
          <w:szCs w:val="21"/>
        </w:rPr>
        <w:t>进行实际测试的权利，测试结果与投标文件不符的视为虚假应标。</w:t>
      </w:r>
    </w:p>
    <w:p w14:paraId="729D045D">
      <w:pPr>
        <w:widowControl/>
        <w:snapToGrid w:val="0"/>
        <w:spacing w:before="120" w:line="360" w:lineRule="auto"/>
        <w:jc w:val="left"/>
        <w:rPr>
          <w:color w:val="000000"/>
          <w:sz w:val="21"/>
          <w:szCs w:val="21"/>
        </w:rPr>
      </w:pPr>
    </w:p>
    <w:p w14:paraId="15ACDC49">
      <w:pPr>
        <w:widowControl/>
        <w:snapToGrid w:val="0"/>
        <w:spacing w:line="360" w:lineRule="auto"/>
        <w:jc w:val="left"/>
        <w:rPr>
          <w:b/>
          <w:color w:val="000000"/>
          <w:sz w:val="21"/>
          <w:szCs w:val="21"/>
        </w:rPr>
      </w:pPr>
      <w:r>
        <w:rPr>
          <w:rFonts w:hint="eastAsia"/>
          <w:b/>
          <w:color w:val="000000"/>
          <w:sz w:val="21"/>
          <w:szCs w:val="21"/>
        </w:rPr>
        <w:t>五</w:t>
      </w:r>
      <w:r>
        <w:rPr>
          <w:b/>
          <w:color w:val="000000"/>
          <w:sz w:val="21"/>
          <w:szCs w:val="21"/>
        </w:rPr>
        <w:t>、</w:t>
      </w:r>
      <w:r>
        <w:rPr>
          <w:rFonts w:hint="eastAsia"/>
          <w:b/>
          <w:color w:val="000000"/>
          <w:sz w:val="21"/>
          <w:szCs w:val="21"/>
        </w:rPr>
        <w:t>交付</w:t>
      </w:r>
      <w:r>
        <w:rPr>
          <w:b/>
          <w:color w:val="000000"/>
          <w:sz w:val="21"/>
          <w:szCs w:val="21"/>
        </w:rPr>
        <w:t>及验收要求</w:t>
      </w:r>
    </w:p>
    <w:p w14:paraId="16842CE0">
      <w:pPr>
        <w:widowControl/>
        <w:numPr>
          <w:ilvl w:val="0"/>
          <w:numId w:val="5"/>
        </w:numPr>
        <w:snapToGrid w:val="0"/>
        <w:spacing w:line="360" w:lineRule="auto"/>
        <w:ind w:left="0" w:firstLine="420"/>
        <w:rPr>
          <w:color w:val="000000"/>
          <w:sz w:val="21"/>
          <w:szCs w:val="21"/>
        </w:rPr>
      </w:pPr>
      <w:r>
        <w:rPr>
          <w:rFonts w:hint="eastAsia"/>
          <w:sz w:val="21"/>
          <w:szCs w:val="21"/>
        </w:rPr>
        <w:t>交付</w:t>
      </w:r>
      <w:r>
        <w:rPr>
          <w:sz w:val="21"/>
          <w:szCs w:val="21"/>
        </w:rPr>
        <w:t>期：合同签订后</w:t>
      </w:r>
      <w:r>
        <w:rPr>
          <w:sz w:val="21"/>
          <w:szCs w:val="21"/>
          <w:u w:val="single"/>
        </w:rPr>
        <w:t xml:space="preserve"> </w:t>
      </w:r>
      <w:r>
        <w:rPr>
          <w:rFonts w:hint="eastAsia"/>
          <w:sz w:val="21"/>
          <w:szCs w:val="21"/>
          <w:u w:val="single"/>
        </w:rPr>
        <w:t xml:space="preserve"> </w:t>
      </w:r>
      <w:r>
        <w:rPr>
          <w:sz w:val="21"/>
          <w:szCs w:val="21"/>
          <w:u w:val="single"/>
        </w:rPr>
        <w:t>5</w:t>
      </w:r>
      <w:r>
        <w:rPr>
          <w:rFonts w:hint="eastAsia"/>
          <w:sz w:val="21"/>
          <w:szCs w:val="21"/>
          <w:u w:val="single"/>
        </w:rPr>
        <w:t xml:space="preserve"> </w:t>
      </w:r>
      <w:r>
        <w:rPr>
          <w:sz w:val="21"/>
          <w:szCs w:val="21"/>
          <w:u w:val="single"/>
        </w:rPr>
        <w:t xml:space="preserve"> </w:t>
      </w:r>
      <w:r>
        <w:rPr>
          <w:sz w:val="21"/>
          <w:szCs w:val="21"/>
        </w:rPr>
        <w:t>个日历天内完成所有采购</w:t>
      </w:r>
      <w:r>
        <w:rPr>
          <w:rFonts w:hint="eastAsia"/>
          <w:sz w:val="21"/>
          <w:szCs w:val="21"/>
        </w:rPr>
        <w:t>服务</w:t>
      </w:r>
      <w:r>
        <w:rPr>
          <w:sz w:val="21"/>
          <w:szCs w:val="21"/>
        </w:rPr>
        <w:t>的</w:t>
      </w:r>
      <w:r>
        <w:rPr>
          <w:rFonts w:hint="eastAsia"/>
          <w:sz w:val="21"/>
          <w:szCs w:val="21"/>
        </w:rPr>
        <w:t>开通</w:t>
      </w:r>
      <w:r>
        <w:rPr>
          <w:sz w:val="21"/>
          <w:szCs w:val="21"/>
        </w:rPr>
        <w:t>和验收，并交付给采购人正常使用。</w:t>
      </w:r>
      <w:bookmarkStart w:id="0" w:name="_GoBack"/>
      <w:bookmarkEnd w:id="0"/>
    </w:p>
    <w:p w14:paraId="5C2CBD50">
      <w:pPr>
        <w:widowControl/>
        <w:numPr>
          <w:ilvl w:val="0"/>
          <w:numId w:val="5"/>
        </w:numPr>
        <w:snapToGrid w:val="0"/>
        <w:spacing w:line="360" w:lineRule="auto"/>
        <w:ind w:left="0" w:firstLine="420"/>
        <w:rPr>
          <w:color w:val="000000"/>
          <w:sz w:val="21"/>
          <w:szCs w:val="21"/>
        </w:rPr>
      </w:pPr>
      <w:r>
        <w:rPr>
          <w:color w:val="000000"/>
          <w:sz w:val="21"/>
          <w:szCs w:val="21"/>
        </w:rPr>
        <w:t>中标人应提交详细安装进度表。</w:t>
      </w:r>
    </w:p>
    <w:p w14:paraId="208F8BE8">
      <w:pPr>
        <w:widowControl/>
        <w:numPr>
          <w:ilvl w:val="0"/>
          <w:numId w:val="5"/>
        </w:numPr>
        <w:snapToGrid w:val="0"/>
        <w:spacing w:line="360" w:lineRule="auto"/>
        <w:ind w:left="0" w:firstLine="420"/>
        <w:rPr>
          <w:color w:val="000000"/>
          <w:sz w:val="21"/>
          <w:szCs w:val="21"/>
        </w:rPr>
      </w:pPr>
      <w:r>
        <w:rPr>
          <w:color w:val="000000"/>
          <w:sz w:val="21"/>
          <w:szCs w:val="21"/>
        </w:rPr>
        <w:t>中标人负责到用户指定的地点进行安装、调试，并提供</w:t>
      </w:r>
      <w:r>
        <w:rPr>
          <w:sz w:val="21"/>
          <w:szCs w:val="21"/>
        </w:rPr>
        <w:t>培训服务，对操作和管理人员进行培训</w:t>
      </w:r>
      <w:r>
        <w:rPr>
          <w:color w:val="000000"/>
          <w:sz w:val="21"/>
          <w:szCs w:val="21"/>
        </w:rPr>
        <w:t>。</w:t>
      </w:r>
    </w:p>
    <w:p w14:paraId="67577291">
      <w:pPr>
        <w:widowControl/>
        <w:numPr>
          <w:ilvl w:val="0"/>
          <w:numId w:val="5"/>
        </w:numPr>
        <w:snapToGrid w:val="0"/>
        <w:spacing w:line="360" w:lineRule="auto"/>
        <w:ind w:left="0" w:firstLine="420"/>
        <w:rPr>
          <w:color w:val="000000"/>
          <w:sz w:val="21"/>
          <w:szCs w:val="21"/>
        </w:rPr>
      </w:pPr>
      <w:r>
        <w:rPr>
          <w:color w:val="000000"/>
          <w:sz w:val="21"/>
          <w:szCs w:val="21"/>
        </w:rPr>
        <w:t>中标人应设安装负责人，负责安装协调管理工作。</w:t>
      </w:r>
    </w:p>
    <w:p w14:paraId="59B52731">
      <w:pPr>
        <w:widowControl/>
        <w:numPr>
          <w:ilvl w:val="0"/>
          <w:numId w:val="5"/>
        </w:numPr>
        <w:snapToGrid w:val="0"/>
        <w:spacing w:line="360" w:lineRule="auto"/>
        <w:ind w:left="0" w:firstLine="420"/>
        <w:rPr>
          <w:color w:val="000000"/>
          <w:sz w:val="21"/>
          <w:szCs w:val="21"/>
        </w:rPr>
      </w:pPr>
      <w:r>
        <w:rPr>
          <w:color w:val="000000"/>
          <w:sz w:val="21"/>
          <w:szCs w:val="21"/>
        </w:rPr>
        <w:t>调试：按国家相关施工验收规范进行，分阶段进行调试。</w:t>
      </w:r>
    </w:p>
    <w:p w14:paraId="7B457C25">
      <w:pPr>
        <w:widowControl/>
        <w:numPr>
          <w:ilvl w:val="0"/>
          <w:numId w:val="5"/>
        </w:numPr>
        <w:snapToGrid w:val="0"/>
        <w:spacing w:line="360" w:lineRule="auto"/>
        <w:ind w:left="0" w:firstLine="420"/>
        <w:rPr>
          <w:b/>
          <w:color w:val="000000"/>
          <w:sz w:val="21"/>
          <w:szCs w:val="21"/>
        </w:rPr>
      </w:pPr>
      <w:r>
        <w:rPr>
          <w:color w:val="000000"/>
          <w:sz w:val="21"/>
          <w:szCs w:val="21"/>
        </w:rPr>
        <w:t>安装、调试等项工作由中标人负责，但必须在采购人指定人员的参与下进行。调试的原始记录须经各方签字后作为验收的文件之一。</w:t>
      </w:r>
    </w:p>
    <w:p w14:paraId="2E4000C6">
      <w:pPr>
        <w:widowControl/>
        <w:numPr>
          <w:ilvl w:val="0"/>
          <w:numId w:val="5"/>
        </w:numPr>
        <w:snapToGrid w:val="0"/>
        <w:spacing w:line="360" w:lineRule="auto"/>
        <w:ind w:left="0" w:firstLine="420"/>
        <w:rPr>
          <w:color w:val="000000"/>
          <w:sz w:val="21"/>
          <w:szCs w:val="21"/>
        </w:rPr>
      </w:pPr>
      <w:r>
        <w:rPr>
          <w:color w:val="000000"/>
          <w:sz w:val="21"/>
          <w:szCs w:val="21"/>
        </w:rPr>
        <w:t>投标人应给出项目详细的验收方案，包括验收项目、验收标准，验收实施办法等。</w:t>
      </w:r>
    </w:p>
    <w:p w14:paraId="1A75E123">
      <w:pPr>
        <w:widowControl/>
        <w:numPr>
          <w:ilvl w:val="0"/>
          <w:numId w:val="5"/>
        </w:numPr>
        <w:snapToGrid w:val="0"/>
        <w:spacing w:line="360" w:lineRule="auto"/>
        <w:ind w:left="0" w:firstLine="420"/>
        <w:rPr>
          <w:color w:val="000000"/>
          <w:sz w:val="21"/>
          <w:szCs w:val="21"/>
        </w:rPr>
      </w:pPr>
      <w:r>
        <w:rPr>
          <w:rFonts w:hint="eastAsia"/>
          <w:color w:val="000000"/>
          <w:sz w:val="21"/>
          <w:szCs w:val="21"/>
        </w:rPr>
        <w:t>交付</w:t>
      </w:r>
      <w:r>
        <w:rPr>
          <w:color w:val="000000"/>
          <w:sz w:val="21"/>
          <w:szCs w:val="21"/>
        </w:rPr>
        <w:t>完工后由投标人和采购人共同验收，并出具验收报告, 投标人须为验收提供必需的设备、工具及其他便利条件；</w:t>
      </w:r>
    </w:p>
    <w:p w14:paraId="3F7E0C6B">
      <w:pPr>
        <w:widowControl/>
        <w:numPr>
          <w:ilvl w:val="0"/>
          <w:numId w:val="5"/>
        </w:numPr>
        <w:snapToGrid w:val="0"/>
        <w:spacing w:line="360" w:lineRule="auto"/>
        <w:ind w:left="0" w:firstLine="420"/>
        <w:rPr>
          <w:color w:val="000000"/>
          <w:sz w:val="21"/>
          <w:szCs w:val="21"/>
        </w:rPr>
      </w:pPr>
      <w:r>
        <w:rPr>
          <w:color w:val="000000"/>
          <w:sz w:val="21"/>
          <w:szCs w:val="21"/>
        </w:rPr>
        <w:t>验收由采购人、中标人及相关人员依国家有关标准、合同及有关附件要求进行。</w:t>
      </w:r>
    </w:p>
    <w:p w14:paraId="6308D68A">
      <w:pPr>
        <w:widowControl/>
        <w:numPr>
          <w:ilvl w:val="0"/>
          <w:numId w:val="5"/>
        </w:numPr>
        <w:snapToGrid w:val="0"/>
        <w:spacing w:line="360" w:lineRule="auto"/>
        <w:ind w:left="0" w:firstLine="420"/>
        <w:rPr>
          <w:color w:val="000000"/>
          <w:sz w:val="21"/>
          <w:szCs w:val="21"/>
        </w:rPr>
      </w:pPr>
      <w:r>
        <w:rPr>
          <w:color w:val="000000"/>
          <w:sz w:val="21"/>
          <w:szCs w:val="21"/>
        </w:rPr>
        <w:t>验收完毕由采购人及中标人在验收报告上签名。</w:t>
      </w:r>
    </w:p>
    <w:p w14:paraId="22DA719A">
      <w:pPr>
        <w:widowControl/>
        <w:snapToGrid w:val="0"/>
        <w:spacing w:line="360" w:lineRule="auto"/>
        <w:jc w:val="left"/>
        <w:rPr>
          <w:b/>
          <w:color w:val="000000"/>
          <w:sz w:val="21"/>
          <w:szCs w:val="21"/>
        </w:rPr>
      </w:pPr>
    </w:p>
    <w:p w14:paraId="47973088">
      <w:pPr>
        <w:widowControl/>
        <w:snapToGrid w:val="0"/>
        <w:spacing w:line="360" w:lineRule="auto"/>
        <w:jc w:val="left"/>
        <w:rPr>
          <w:b/>
          <w:color w:val="000000"/>
          <w:sz w:val="21"/>
          <w:szCs w:val="21"/>
        </w:rPr>
      </w:pPr>
      <w:r>
        <w:rPr>
          <w:rFonts w:hint="eastAsia"/>
          <w:b/>
          <w:color w:val="000000"/>
          <w:sz w:val="21"/>
          <w:szCs w:val="21"/>
        </w:rPr>
        <w:t>六</w:t>
      </w:r>
      <w:r>
        <w:rPr>
          <w:b/>
          <w:color w:val="000000"/>
          <w:sz w:val="21"/>
          <w:szCs w:val="21"/>
        </w:rPr>
        <w:t>、质量保证及售后服务</w:t>
      </w:r>
    </w:p>
    <w:p w14:paraId="2CAD2F39">
      <w:pPr>
        <w:widowControl/>
        <w:numPr>
          <w:ilvl w:val="0"/>
          <w:numId w:val="6"/>
        </w:numPr>
        <w:snapToGrid w:val="0"/>
        <w:spacing w:line="360" w:lineRule="auto"/>
        <w:ind w:left="0" w:firstLine="420"/>
        <w:rPr>
          <w:color w:val="000000"/>
          <w:sz w:val="21"/>
          <w:szCs w:val="21"/>
        </w:rPr>
      </w:pPr>
      <w:r>
        <w:rPr>
          <w:color w:val="000000"/>
          <w:sz w:val="21"/>
          <w:szCs w:val="21"/>
        </w:rPr>
        <w:t>投标人必须提供目前市场上技术较先进、较成熟的</w:t>
      </w:r>
      <w:r>
        <w:rPr>
          <w:rFonts w:hint="eastAsia"/>
          <w:color w:val="000000"/>
          <w:sz w:val="21"/>
          <w:szCs w:val="21"/>
        </w:rPr>
        <w:t>安全服务</w:t>
      </w:r>
      <w:r>
        <w:rPr>
          <w:color w:val="000000"/>
          <w:sz w:val="21"/>
          <w:szCs w:val="21"/>
        </w:rPr>
        <w:t>，并且符合国家</w:t>
      </w:r>
      <w:r>
        <w:rPr>
          <w:rFonts w:hint="eastAsia"/>
          <w:color w:val="000000"/>
          <w:sz w:val="21"/>
          <w:szCs w:val="21"/>
        </w:rPr>
        <w:t>相关</w:t>
      </w:r>
      <w:r>
        <w:rPr>
          <w:color w:val="000000"/>
          <w:sz w:val="21"/>
          <w:szCs w:val="21"/>
        </w:rPr>
        <w:t>标准</w:t>
      </w:r>
      <w:r>
        <w:rPr>
          <w:rFonts w:hint="eastAsia"/>
          <w:color w:val="000000"/>
          <w:sz w:val="21"/>
          <w:szCs w:val="21"/>
        </w:rPr>
        <w:t>规范</w:t>
      </w:r>
      <w:r>
        <w:rPr>
          <w:color w:val="000000"/>
          <w:sz w:val="21"/>
          <w:szCs w:val="21"/>
        </w:rPr>
        <w:t>。</w:t>
      </w:r>
    </w:p>
    <w:p w14:paraId="251E63D3">
      <w:pPr>
        <w:widowControl/>
        <w:numPr>
          <w:ilvl w:val="0"/>
          <w:numId w:val="6"/>
        </w:numPr>
        <w:snapToGrid w:val="0"/>
        <w:spacing w:line="360" w:lineRule="auto"/>
        <w:ind w:left="0" w:firstLine="420"/>
        <w:rPr>
          <w:color w:val="000000"/>
          <w:sz w:val="21"/>
          <w:szCs w:val="21"/>
        </w:rPr>
      </w:pPr>
      <w:r>
        <w:rPr>
          <w:rFonts w:hint="eastAsia"/>
          <w:color w:val="000000"/>
          <w:sz w:val="21"/>
          <w:szCs w:val="21"/>
        </w:rPr>
        <w:t>项目</w:t>
      </w:r>
      <w:r>
        <w:rPr>
          <w:rFonts w:hint="eastAsia"/>
          <w:sz w:val="21"/>
          <w:szCs w:val="21"/>
        </w:rPr>
        <w:t>按签约年限质保</w:t>
      </w:r>
      <w:r>
        <w:rPr>
          <w:color w:val="000000"/>
          <w:sz w:val="21"/>
          <w:szCs w:val="21"/>
        </w:rPr>
        <w:t>。质保期从项目验收合格之日计算。</w:t>
      </w:r>
    </w:p>
    <w:p w14:paraId="06BE401D">
      <w:pPr>
        <w:widowControl/>
        <w:numPr>
          <w:ilvl w:val="0"/>
          <w:numId w:val="6"/>
        </w:numPr>
        <w:snapToGrid w:val="0"/>
        <w:spacing w:line="360" w:lineRule="auto"/>
        <w:ind w:left="0" w:firstLine="420"/>
        <w:rPr>
          <w:color w:val="000000"/>
          <w:sz w:val="21"/>
          <w:szCs w:val="21"/>
        </w:rPr>
      </w:pPr>
      <w:r>
        <w:rPr>
          <w:color w:val="000000"/>
          <w:sz w:val="21"/>
          <w:szCs w:val="21"/>
        </w:rPr>
        <w:t>质保期内，同一</w:t>
      </w:r>
      <w:r>
        <w:rPr>
          <w:rFonts w:hint="eastAsia"/>
          <w:color w:val="000000"/>
          <w:sz w:val="21"/>
          <w:szCs w:val="21"/>
        </w:rPr>
        <w:t>服务项目</w:t>
      </w:r>
      <w:r>
        <w:rPr>
          <w:color w:val="000000"/>
          <w:sz w:val="21"/>
          <w:szCs w:val="21"/>
        </w:rPr>
        <w:t>一个月内连续2次出现同一非人为故障，中标人须无偿更换同一档次设备。质保期内，用户所购</w:t>
      </w:r>
      <w:r>
        <w:rPr>
          <w:rFonts w:hint="eastAsia"/>
          <w:color w:val="000000"/>
          <w:sz w:val="21"/>
          <w:szCs w:val="21"/>
        </w:rPr>
        <w:t>服务</w:t>
      </w:r>
      <w:r>
        <w:rPr>
          <w:color w:val="000000"/>
          <w:sz w:val="21"/>
          <w:szCs w:val="21"/>
        </w:rPr>
        <w:t>发生任何故障</w:t>
      </w:r>
      <w:r>
        <w:rPr>
          <w:rFonts w:hint="eastAsia"/>
          <w:color w:val="000000"/>
          <w:sz w:val="21"/>
          <w:szCs w:val="21"/>
        </w:rPr>
        <w:t>中断</w:t>
      </w:r>
      <w:r>
        <w:rPr>
          <w:color w:val="000000"/>
          <w:sz w:val="21"/>
          <w:szCs w:val="21"/>
        </w:rPr>
        <w:t>，中标人都应免费上门检修。</w:t>
      </w:r>
    </w:p>
    <w:p w14:paraId="3CF20CD9">
      <w:pPr>
        <w:widowControl/>
        <w:numPr>
          <w:ilvl w:val="0"/>
          <w:numId w:val="6"/>
        </w:numPr>
        <w:snapToGrid w:val="0"/>
        <w:spacing w:line="360" w:lineRule="auto"/>
        <w:ind w:left="0" w:firstLine="420"/>
        <w:rPr>
          <w:color w:val="000000"/>
          <w:sz w:val="21"/>
          <w:szCs w:val="21"/>
        </w:rPr>
      </w:pPr>
      <w:r>
        <w:rPr>
          <w:color w:val="000000"/>
          <w:sz w:val="21"/>
          <w:szCs w:val="21"/>
        </w:rPr>
        <w:t>供应商的故障响应为：全天候响应时间为</w:t>
      </w:r>
      <w:r>
        <w:rPr>
          <w:rFonts w:hint="eastAsia"/>
          <w:color w:val="000000"/>
          <w:sz w:val="21"/>
          <w:szCs w:val="21"/>
        </w:rPr>
        <w:t>半</w:t>
      </w:r>
      <w:r>
        <w:rPr>
          <w:color w:val="000000"/>
          <w:sz w:val="21"/>
          <w:szCs w:val="21"/>
        </w:rPr>
        <w:t>小时</w:t>
      </w:r>
      <w:r>
        <w:rPr>
          <w:rFonts w:hint="eastAsia"/>
          <w:color w:val="000000"/>
          <w:sz w:val="21"/>
          <w:szCs w:val="21"/>
        </w:rPr>
        <w:t>，并为采购方提供7*</w:t>
      </w:r>
      <w:r>
        <w:rPr>
          <w:color w:val="000000"/>
          <w:sz w:val="21"/>
          <w:szCs w:val="21"/>
        </w:rPr>
        <w:t>24小时电话服务支撑，配合</w:t>
      </w:r>
      <w:r>
        <w:rPr>
          <w:rFonts w:hint="eastAsia"/>
          <w:color w:val="000000"/>
          <w:sz w:val="21"/>
          <w:szCs w:val="21"/>
        </w:rPr>
        <w:t>采购方</w:t>
      </w:r>
      <w:r>
        <w:rPr>
          <w:color w:val="000000"/>
          <w:sz w:val="21"/>
          <w:szCs w:val="21"/>
        </w:rPr>
        <w:t>方处理服务相关事宜。</w:t>
      </w:r>
    </w:p>
    <w:p w14:paraId="65C05157">
      <w:pPr>
        <w:widowControl/>
        <w:numPr>
          <w:ilvl w:val="0"/>
          <w:numId w:val="6"/>
        </w:numPr>
        <w:snapToGrid w:val="0"/>
        <w:spacing w:line="360" w:lineRule="auto"/>
        <w:ind w:left="0" w:firstLine="420"/>
        <w:rPr>
          <w:color w:val="000000"/>
          <w:sz w:val="21"/>
          <w:szCs w:val="21"/>
        </w:rPr>
      </w:pPr>
      <w:r>
        <w:rPr>
          <w:color w:val="000000"/>
          <w:sz w:val="21"/>
          <w:szCs w:val="21"/>
        </w:rPr>
        <w:t>中标供应商必需按采购方要求对其提供的所有</w:t>
      </w:r>
      <w:r>
        <w:rPr>
          <w:rFonts w:hint="eastAsia"/>
          <w:color w:val="000000"/>
          <w:sz w:val="21"/>
          <w:szCs w:val="21"/>
        </w:rPr>
        <w:t>服务</w:t>
      </w:r>
      <w:r>
        <w:rPr>
          <w:color w:val="000000"/>
          <w:sz w:val="21"/>
          <w:szCs w:val="21"/>
        </w:rPr>
        <w:t>进行安装调试，确保系统的正常运行</w:t>
      </w:r>
      <w:r>
        <w:rPr>
          <w:rFonts w:hint="eastAsia"/>
          <w:color w:val="000000"/>
          <w:sz w:val="21"/>
          <w:szCs w:val="21"/>
        </w:rPr>
        <w:t>，</w:t>
      </w:r>
      <w:r>
        <w:rPr>
          <w:color w:val="000000"/>
          <w:sz w:val="21"/>
          <w:szCs w:val="21"/>
        </w:rPr>
        <w:t>所有质保服务方式均为上门服务。在质保期内，须对所提供的设备做定期检查和保养。</w:t>
      </w:r>
    </w:p>
    <w:p w14:paraId="0C0B5201">
      <w:pPr>
        <w:widowControl/>
        <w:numPr>
          <w:ilvl w:val="0"/>
          <w:numId w:val="6"/>
        </w:numPr>
        <w:snapToGrid w:val="0"/>
        <w:spacing w:line="360" w:lineRule="auto"/>
        <w:ind w:left="0" w:firstLine="420"/>
        <w:rPr>
          <w:color w:val="000000"/>
          <w:sz w:val="21"/>
          <w:szCs w:val="21"/>
        </w:rPr>
      </w:pPr>
      <w:r>
        <w:rPr>
          <w:color w:val="000000"/>
          <w:sz w:val="21"/>
          <w:szCs w:val="21"/>
        </w:rPr>
        <w:t>应提供系统扩充、升级方面的技术支持服务。</w:t>
      </w:r>
    </w:p>
    <w:p w14:paraId="06EED6F8">
      <w:pPr>
        <w:widowControl/>
        <w:snapToGrid w:val="0"/>
        <w:spacing w:line="360" w:lineRule="auto"/>
        <w:rPr>
          <w:color w:val="000000"/>
          <w:sz w:val="21"/>
          <w:szCs w:val="21"/>
        </w:rPr>
      </w:pPr>
    </w:p>
    <w:p w14:paraId="07CD1C49">
      <w:pPr>
        <w:widowControl/>
        <w:snapToGrid w:val="0"/>
        <w:spacing w:line="360" w:lineRule="auto"/>
        <w:rPr>
          <w:b/>
          <w:color w:val="000000"/>
          <w:sz w:val="21"/>
          <w:szCs w:val="21"/>
        </w:rPr>
      </w:pPr>
      <w:r>
        <w:rPr>
          <w:rFonts w:hint="eastAsia"/>
          <w:b/>
          <w:color w:val="000000"/>
          <w:sz w:val="21"/>
          <w:szCs w:val="21"/>
        </w:rPr>
        <w:t>七</w:t>
      </w:r>
      <w:r>
        <w:rPr>
          <w:b/>
          <w:color w:val="000000"/>
          <w:sz w:val="21"/>
          <w:szCs w:val="21"/>
        </w:rPr>
        <w:t>、技术资料</w:t>
      </w:r>
    </w:p>
    <w:p w14:paraId="698ADFC4">
      <w:pPr>
        <w:widowControl/>
        <w:numPr>
          <w:ilvl w:val="0"/>
          <w:numId w:val="7"/>
        </w:numPr>
        <w:snapToGrid w:val="0"/>
        <w:spacing w:line="360" w:lineRule="auto"/>
        <w:ind w:left="0" w:firstLine="420"/>
        <w:rPr>
          <w:color w:val="000000"/>
          <w:sz w:val="21"/>
          <w:szCs w:val="21"/>
        </w:rPr>
      </w:pPr>
      <w:r>
        <w:rPr>
          <w:color w:val="000000"/>
          <w:sz w:val="21"/>
          <w:szCs w:val="21"/>
        </w:rPr>
        <w:t>中标人应于验收后向用户提供验收报告、技术文档的归纳、整理、提交，并提供完整的技术资料。</w:t>
      </w:r>
    </w:p>
    <w:p w14:paraId="5F267329">
      <w:pPr>
        <w:widowControl/>
        <w:numPr>
          <w:ilvl w:val="0"/>
          <w:numId w:val="7"/>
        </w:numPr>
        <w:snapToGrid w:val="0"/>
        <w:spacing w:line="360" w:lineRule="auto"/>
        <w:ind w:left="0" w:firstLine="420"/>
        <w:rPr>
          <w:color w:val="000000"/>
          <w:sz w:val="21"/>
          <w:szCs w:val="21"/>
        </w:rPr>
      </w:pPr>
      <w:r>
        <w:rPr>
          <w:color w:val="000000"/>
          <w:sz w:val="21"/>
          <w:szCs w:val="21"/>
        </w:rPr>
        <w:t>技术文件：包括验收报告、技术文档、完整的技术资料。</w:t>
      </w:r>
    </w:p>
    <w:p w14:paraId="075AE017">
      <w:pPr>
        <w:widowControl/>
        <w:snapToGrid w:val="0"/>
        <w:spacing w:line="360" w:lineRule="auto"/>
        <w:rPr>
          <w:color w:val="000000"/>
          <w:sz w:val="21"/>
          <w:szCs w:val="21"/>
        </w:rPr>
      </w:pPr>
    </w:p>
    <w:p w14:paraId="426ECEEF">
      <w:pPr>
        <w:widowControl/>
        <w:snapToGrid w:val="0"/>
        <w:spacing w:line="360" w:lineRule="auto"/>
        <w:rPr>
          <w:b/>
          <w:color w:val="000000"/>
          <w:sz w:val="21"/>
          <w:szCs w:val="21"/>
        </w:rPr>
      </w:pPr>
      <w:r>
        <w:rPr>
          <w:rFonts w:hint="eastAsia"/>
          <w:b/>
          <w:color w:val="000000"/>
          <w:sz w:val="21"/>
          <w:szCs w:val="21"/>
        </w:rPr>
        <w:t>八</w:t>
      </w:r>
      <w:r>
        <w:rPr>
          <w:b/>
          <w:color w:val="000000"/>
          <w:sz w:val="21"/>
          <w:szCs w:val="21"/>
        </w:rPr>
        <w:t>、付款方式</w:t>
      </w:r>
    </w:p>
    <w:p w14:paraId="5A0837E0">
      <w:pPr>
        <w:widowControl/>
        <w:numPr>
          <w:ilvl w:val="0"/>
          <w:numId w:val="8"/>
        </w:numPr>
        <w:snapToGrid w:val="0"/>
        <w:spacing w:line="360" w:lineRule="auto"/>
        <w:ind w:left="0" w:firstLine="420"/>
        <w:rPr>
          <w:color w:val="000000"/>
          <w:sz w:val="21"/>
          <w:szCs w:val="21"/>
        </w:rPr>
      </w:pPr>
      <w:r>
        <w:rPr>
          <w:rFonts w:hint="eastAsia"/>
          <w:color w:val="000000"/>
          <w:sz w:val="21"/>
          <w:szCs w:val="21"/>
        </w:rPr>
        <w:t>甲方付款采用银行托收</w:t>
      </w:r>
      <w:r>
        <w:rPr>
          <w:color w:val="000000"/>
          <w:sz w:val="21"/>
          <w:szCs w:val="21"/>
        </w:rPr>
        <w:t>、</w:t>
      </w:r>
      <w:r>
        <w:rPr>
          <w:rFonts w:hint="eastAsia"/>
          <w:color w:val="000000"/>
          <w:sz w:val="21"/>
          <w:szCs w:val="21"/>
        </w:rPr>
        <w:t>转帐或电汇方式。</w:t>
      </w:r>
    </w:p>
    <w:p w14:paraId="6C7044E7">
      <w:pPr>
        <w:widowControl/>
        <w:numPr>
          <w:ilvl w:val="0"/>
          <w:numId w:val="8"/>
        </w:numPr>
        <w:snapToGrid w:val="0"/>
        <w:spacing w:line="360" w:lineRule="auto"/>
        <w:ind w:left="0" w:firstLine="420"/>
        <w:rPr>
          <w:color w:val="000000"/>
          <w:sz w:val="21"/>
          <w:szCs w:val="21"/>
        </w:rPr>
      </w:pPr>
      <w:r>
        <w:rPr>
          <w:rFonts w:hint="eastAsia"/>
          <w:color w:val="000000"/>
          <w:sz w:val="21"/>
          <w:szCs w:val="21"/>
        </w:rPr>
        <w:t>甲方分十二期按月付款。甲方以下列方式支付货款。</w:t>
      </w:r>
    </w:p>
    <w:p w14:paraId="4DD56DB4">
      <w:pPr>
        <w:widowControl/>
        <w:numPr>
          <w:ilvl w:val="0"/>
          <w:numId w:val="8"/>
        </w:numPr>
        <w:snapToGrid w:val="0"/>
        <w:spacing w:line="360" w:lineRule="auto"/>
        <w:ind w:left="0" w:firstLine="420"/>
        <w:rPr>
          <w:color w:val="FF0000"/>
          <w:sz w:val="21"/>
          <w:szCs w:val="21"/>
        </w:rPr>
      </w:pPr>
      <w:r>
        <w:rPr>
          <w:rFonts w:hint="eastAsia"/>
          <w:color w:val="FF0000"/>
          <w:sz w:val="21"/>
          <w:szCs w:val="21"/>
        </w:rPr>
        <w:t>在项目通过验收合格后，甲方收到乙方提供双方签字确认的验收报告后 30 个日历天内向乙方按月支付服务</w:t>
      </w:r>
      <w:r>
        <w:rPr>
          <w:color w:val="FF0000"/>
          <w:sz w:val="21"/>
          <w:szCs w:val="21"/>
        </w:rPr>
        <w:t>费</w:t>
      </w:r>
      <w:r>
        <w:rPr>
          <w:rFonts w:hint="eastAsia"/>
          <w:color w:val="FF0000"/>
          <w:sz w:val="21"/>
          <w:szCs w:val="21"/>
        </w:rPr>
        <w:t>。</w:t>
      </w:r>
    </w:p>
    <w:p w14:paraId="31F983A7">
      <w:pPr>
        <w:widowControl/>
        <w:numPr>
          <w:ilvl w:val="0"/>
          <w:numId w:val="8"/>
        </w:numPr>
        <w:snapToGrid w:val="0"/>
        <w:spacing w:line="360" w:lineRule="auto"/>
        <w:ind w:left="0" w:firstLine="420"/>
        <w:rPr>
          <w:color w:val="000000"/>
          <w:sz w:val="21"/>
          <w:szCs w:val="21"/>
        </w:rPr>
      </w:pPr>
      <w:r>
        <w:rPr>
          <w:rFonts w:hint="eastAsia"/>
          <w:color w:val="000000"/>
          <w:sz w:val="21"/>
          <w:szCs w:val="21"/>
        </w:rPr>
        <w:t>乙方凭以下有效文件与甲方结算：</w:t>
      </w:r>
    </w:p>
    <w:p w14:paraId="2629B353">
      <w:pPr>
        <w:widowControl/>
        <w:snapToGrid w:val="0"/>
        <w:spacing w:line="360" w:lineRule="auto"/>
        <w:ind w:left="420"/>
        <w:rPr>
          <w:color w:val="000000"/>
          <w:sz w:val="21"/>
          <w:szCs w:val="21"/>
        </w:rPr>
      </w:pPr>
      <w:r>
        <w:rPr>
          <w:rFonts w:hint="eastAsia"/>
          <w:color w:val="000000"/>
          <w:sz w:val="21"/>
          <w:szCs w:val="21"/>
        </w:rPr>
        <w:t>（1）中标通知书；</w:t>
      </w:r>
    </w:p>
    <w:p w14:paraId="1D2D997B">
      <w:pPr>
        <w:widowControl/>
        <w:snapToGrid w:val="0"/>
        <w:spacing w:line="360" w:lineRule="auto"/>
        <w:ind w:left="420"/>
        <w:rPr>
          <w:color w:val="000000"/>
          <w:sz w:val="21"/>
          <w:szCs w:val="21"/>
        </w:rPr>
      </w:pPr>
      <w:r>
        <w:rPr>
          <w:rFonts w:hint="eastAsia"/>
          <w:color w:val="000000"/>
          <w:sz w:val="21"/>
          <w:szCs w:val="21"/>
        </w:rPr>
        <w:t>（2）合同；</w:t>
      </w:r>
    </w:p>
    <w:p w14:paraId="2F7ADD5F">
      <w:pPr>
        <w:widowControl/>
        <w:snapToGrid w:val="0"/>
        <w:spacing w:line="360" w:lineRule="auto"/>
        <w:ind w:left="420"/>
        <w:rPr>
          <w:color w:val="000000"/>
          <w:sz w:val="21"/>
          <w:szCs w:val="21"/>
        </w:rPr>
      </w:pPr>
      <w:r>
        <w:rPr>
          <w:rFonts w:hint="eastAsia"/>
          <w:color w:val="000000"/>
          <w:sz w:val="21"/>
          <w:szCs w:val="21"/>
        </w:rPr>
        <w:t>（3）中标人开具的正式发票；</w:t>
      </w:r>
    </w:p>
    <w:p w14:paraId="40DF7336">
      <w:pPr>
        <w:widowControl/>
        <w:snapToGrid w:val="0"/>
        <w:spacing w:line="360" w:lineRule="auto"/>
        <w:ind w:left="420"/>
        <w:rPr>
          <w:color w:val="000000"/>
          <w:sz w:val="21"/>
          <w:szCs w:val="21"/>
        </w:rPr>
      </w:pPr>
      <w:r>
        <w:rPr>
          <w:rFonts w:hint="eastAsia"/>
          <w:color w:val="000000"/>
          <w:sz w:val="21"/>
          <w:szCs w:val="21"/>
        </w:rPr>
        <w:t>（4）进场实施确认书</w:t>
      </w:r>
    </w:p>
    <w:p w14:paraId="0045181D">
      <w:pPr>
        <w:widowControl/>
        <w:snapToGrid w:val="0"/>
        <w:spacing w:line="360" w:lineRule="auto"/>
        <w:ind w:left="420"/>
        <w:rPr>
          <w:color w:val="000000"/>
          <w:sz w:val="21"/>
          <w:szCs w:val="21"/>
        </w:rPr>
      </w:pPr>
      <w:r>
        <w:rPr>
          <w:rFonts w:hint="eastAsia"/>
          <w:color w:val="000000"/>
          <w:sz w:val="21"/>
          <w:szCs w:val="21"/>
        </w:rPr>
        <w:t>（5）验收报告。</w:t>
      </w:r>
    </w:p>
    <w:p w14:paraId="491721C0">
      <w:pPr>
        <w:widowControl/>
        <w:snapToGrid w:val="0"/>
        <w:spacing w:line="360" w:lineRule="auto"/>
        <w:rPr>
          <w:b/>
          <w:color w:val="000000"/>
          <w:sz w:val="21"/>
          <w:szCs w:val="21"/>
        </w:rPr>
      </w:pPr>
    </w:p>
    <w:p w14:paraId="42142061">
      <w:pPr>
        <w:widowControl/>
        <w:snapToGrid w:val="0"/>
        <w:spacing w:line="360" w:lineRule="auto"/>
        <w:rPr>
          <w:b/>
          <w:color w:val="000000"/>
          <w:sz w:val="21"/>
          <w:szCs w:val="21"/>
        </w:rPr>
      </w:pPr>
      <w:r>
        <w:rPr>
          <w:rFonts w:hint="eastAsia"/>
          <w:b/>
          <w:color w:val="000000"/>
          <w:sz w:val="21"/>
          <w:szCs w:val="21"/>
        </w:rPr>
        <w:t>九</w:t>
      </w:r>
      <w:r>
        <w:rPr>
          <w:b/>
          <w:color w:val="000000"/>
          <w:sz w:val="21"/>
          <w:szCs w:val="21"/>
        </w:rPr>
        <w:t>、采购人配合条件</w:t>
      </w:r>
    </w:p>
    <w:p w14:paraId="08757EA3">
      <w:pPr>
        <w:widowControl/>
        <w:snapToGrid w:val="0"/>
        <w:spacing w:line="360" w:lineRule="auto"/>
        <w:ind w:firstLine="420"/>
        <w:rPr>
          <w:sz w:val="21"/>
          <w:szCs w:val="21"/>
        </w:rPr>
      </w:pPr>
      <w:r>
        <w:rPr>
          <w:color w:val="000000"/>
          <w:sz w:val="21"/>
          <w:szCs w:val="21"/>
        </w:rPr>
        <w:t>如有需要，投标人可在投标文件中列明需由采购人配合的内容，</w:t>
      </w:r>
      <w:r>
        <w:rPr>
          <w:sz w:val="21"/>
          <w:szCs w:val="21"/>
        </w:rPr>
        <w:t>所列配合内容采购人将尽量配合解决，但不代表采购人全部接受，采购人有权全部或部分拒绝投标人提出的配合条件。</w:t>
      </w:r>
    </w:p>
    <w:p w14:paraId="62B803B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68F736"/>
    <w:multiLevelType w:val="multilevel"/>
    <w:tmpl w:val="9F68F736"/>
    <w:lvl w:ilvl="0" w:tentative="0">
      <w:start w:val="1"/>
      <w:numFmt w:val="decimal"/>
      <w:lvlText w:val="%1."/>
      <w:lvlJc w:val="left"/>
      <w:pPr>
        <w:ind w:left="420" w:hanging="420"/>
      </w:pPr>
      <w:rPr>
        <w:rFonts w:hint="default" w:ascii="宋体" w:hAnsi="宋体" w:eastAsia="宋体"/>
        <w:b w:val="0"/>
        <w:w w:val="100"/>
      </w:rPr>
    </w:lvl>
    <w:lvl w:ilvl="1" w:tentative="0">
      <w:start w:val="1"/>
      <w:numFmt w:val="lowerLetter"/>
      <w:lvlText w:val="%2)"/>
      <w:lvlJc w:val="left"/>
      <w:pPr>
        <w:ind w:left="840" w:hanging="420"/>
      </w:pPr>
      <w:rPr>
        <w:rFonts w:hint="default"/>
        <w:w w:val="100"/>
      </w:rPr>
    </w:lvl>
    <w:lvl w:ilvl="2" w:tentative="0">
      <w:start w:val="1"/>
      <w:numFmt w:val="lowerRoman"/>
      <w:lvlText w:val="%3."/>
      <w:lvlJc w:val="right"/>
      <w:pPr>
        <w:ind w:left="1260" w:hanging="420"/>
      </w:pPr>
      <w:rPr>
        <w:rFonts w:hint="default"/>
        <w:w w:val="100"/>
      </w:rPr>
    </w:lvl>
    <w:lvl w:ilvl="3" w:tentative="0">
      <w:start w:val="1"/>
      <w:numFmt w:val="decimal"/>
      <w:lvlText w:val="%4."/>
      <w:lvlJc w:val="left"/>
      <w:pPr>
        <w:ind w:left="1680" w:hanging="420"/>
      </w:pPr>
      <w:rPr>
        <w:rFonts w:hint="default"/>
        <w:w w:val="100"/>
      </w:rPr>
    </w:lvl>
    <w:lvl w:ilvl="4" w:tentative="0">
      <w:start w:val="1"/>
      <w:numFmt w:val="lowerLetter"/>
      <w:lvlText w:val="%5)"/>
      <w:lvlJc w:val="left"/>
      <w:pPr>
        <w:ind w:left="2100" w:hanging="420"/>
      </w:pPr>
      <w:rPr>
        <w:rFonts w:hint="default"/>
        <w:w w:val="100"/>
      </w:rPr>
    </w:lvl>
    <w:lvl w:ilvl="5" w:tentative="0">
      <w:start w:val="1"/>
      <w:numFmt w:val="lowerRoman"/>
      <w:lvlText w:val="%6."/>
      <w:lvlJc w:val="right"/>
      <w:pPr>
        <w:ind w:left="2520" w:hanging="420"/>
      </w:pPr>
      <w:rPr>
        <w:rFonts w:hint="default"/>
        <w:w w:val="100"/>
      </w:rPr>
    </w:lvl>
    <w:lvl w:ilvl="6" w:tentative="0">
      <w:start w:val="1"/>
      <w:numFmt w:val="decimal"/>
      <w:lvlText w:val="%7."/>
      <w:lvlJc w:val="left"/>
      <w:pPr>
        <w:ind w:left="2940" w:hanging="420"/>
      </w:pPr>
      <w:rPr>
        <w:rFonts w:hint="default"/>
        <w:w w:val="100"/>
      </w:rPr>
    </w:lvl>
    <w:lvl w:ilvl="7" w:tentative="0">
      <w:start w:val="1"/>
      <w:numFmt w:val="lowerLetter"/>
      <w:lvlText w:val="%8)"/>
      <w:lvlJc w:val="left"/>
      <w:pPr>
        <w:ind w:left="3360" w:hanging="420"/>
      </w:pPr>
      <w:rPr>
        <w:rFonts w:hint="default"/>
        <w:w w:val="100"/>
      </w:rPr>
    </w:lvl>
    <w:lvl w:ilvl="8" w:tentative="0">
      <w:start w:val="1"/>
      <w:numFmt w:val="lowerRoman"/>
      <w:lvlText w:val="%9."/>
      <w:lvlJc w:val="right"/>
      <w:pPr>
        <w:ind w:left="3780" w:hanging="420"/>
      </w:pPr>
      <w:rPr>
        <w:rFonts w:hint="default"/>
        <w:w w:val="100"/>
      </w:rPr>
    </w:lvl>
  </w:abstractNum>
  <w:abstractNum w:abstractNumId="1">
    <w:nsid w:val="ACA9EDA4"/>
    <w:multiLevelType w:val="singleLevel"/>
    <w:tmpl w:val="ACA9EDA4"/>
    <w:lvl w:ilvl="0" w:tentative="0">
      <w:start w:val="1"/>
      <w:numFmt w:val="decimal"/>
      <w:lvlText w:val="(%1)"/>
      <w:lvlJc w:val="left"/>
      <w:pPr>
        <w:ind w:left="425" w:hanging="425"/>
      </w:pPr>
      <w:rPr>
        <w:rFonts w:hint="default"/>
      </w:rPr>
    </w:lvl>
  </w:abstractNum>
  <w:abstractNum w:abstractNumId="2">
    <w:nsid w:val="C72FCBAD"/>
    <w:multiLevelType w:val="singleLevel"/>
    <w:tmpl w:val="C72FCBAD"/>
    <w:lvl w:ilvl="0" w:tentative="0">
      <w:start w:val="2"/>
      <w:numFmt w:val="decimal"/>
      <w:suff w:val="nothing"/>
      <w:lvlText w:val="%1、"/>
      <w:lvlJc w:val="left"/>
    </w:lvl>
  </w:abstractNum>
  <w:abstractNum w:abstractNumId="3">
    <w:nsid w:val="5C946296"/>
    <w:multiLevelType w:val="multilevel"/>
    <w:tmpl w:val="5C946296"/>
    <w:lvl w:ilvl="0" w:tentative="0">
      <w:start w:val="1"/>
      <w:numFmt w:val="decimal"/>
      <w:lvlText w:val="%1."/>
      <w:lvlJc w:val="left"/>
      <w:pPr>
        <w:ind w:left="0" w:hanging="420"/>
      </w:pPr>
      <w:rPr>
        <w:rFonts w:hint="default"/>
        <w:w w:val="100"/>
      </w:rPr>
    </w:lvl>
    <w:lvl w:ilvl="1" w:tentative="0">
      <w:start w:val="1"/>
      <w:numFmt w:val="lowerLetter"/>
      <w:pStyle w:val="26"/>
      <w:lvlText w:val="%2)"/>
      <w:lvlJc w:val="left"/>
      <w:pPr>
        <w:ind w:left="840" w:hanging="420"/>
      </w:pPr>
      <w:rPr>
        <w:rFonts w:hint="default"/>
        <w:w w:val="100"/>
      </w:rPr>
    </w:lvl>
    <w:lvl w:ilvl="2" w:tentative="0">
      <w:start w:val="1"/>
      <w:numFmt w:val="lowerRoman"/>
      <w:lvlText w:val="%3."/>
      <w:lvlJc w:val="right"/>
      <w:pPr>
        <w:ind w:left="1260" w:hanging="420"/>
      </w:pPr>
      <w:rPr>
        <w:rFonts w:hint="default"/>
        <w:w w:val="100"/>
      </w:rPr>
    </w:lvl>
    <w:lvl w:ilvl="3" w:tentative="0">
      <w:start w:val="1"/>
      <w:numFmt w:val="decimal"/>
      <w:lvlText w:val="%4."/>
      <w:lvlJc w:val="left"/>
      <w:pPr>
        <w:ind w:left="1680" w:hanging="420"/>
      </w:pPr>
      <w:rPr>
        <w:rFonts w:hint="default"/>
        <w:w w:val="100"/>
      </w:rPr>
    </w:lvl>
    <w:lvl w:ilvl="4" w:tentative="0">
      <w:start w:val="1"/>
      <w:numFmt w:val="lowerLetter"/>
      <w:lvlText w:val="%5)"/>
      <w:lvlJc w:val="left"/>
      <w:pPr>
        <w:ind w:left="2100" w:hanging="420"/>
      </w:pPr>
      <w:rPr>
        <w:rFonts w:hint="default"/>
        <w:w w:val="100"/>
      </w:rPr>
    </w:lvl>
    <w:lvl w:ilvl="5" w:tentative="0">
      <w:start w:val="1"/>
      <w:numFmt w:val="lowerRoman"/>
      <w:lvlText w:val="%6."/>
      <w:lvlJc w:val="right"/>
      <w:pPr>
        <w:ind w:left="2520" w:hanging="420"/>
      </w:pPr>
      <w:rPr>
        <w:rFonts w:hint="default"/>
        <w:w w:val="100"/>
      </w:rPr>
    </w:lvl>
    <w:lvl w:ilvl="6" w:tentative="0">
      <w:start w:val="1"/>
      <w:numFmt w:val="decimal"/>
      <w:lvlText w:val="%7."/>
      <w:lvlJc w:val="left"/>
      <w:pPr>
        <w:ind w:left="2940" w:hanging="420"/>
      </w:pPr>
      <w:rPr>
        <w:rFonts w:hint="default"/>
        <w:w w:val="100"/>
      </w:rPr>
    </w:lvl>
    <w:lvl w:ilvl="7" w:tentative="0">
      <w:start w:val="1"/>
      <w:numFmt w:val="lowerLetter"/>
      <w:lvlText w:val="%8)"/>
      <w:lvlJc w:val="left"/>
      <w:pPr>
        <w:ind w:left="3360" w:hanging="420"/>
      </w:pPr>
      <w:rPr>
        <w:rFonts w:hint="default"/>
        <w:w w:val="100"/>
      </w:rPr>
    </w:lvl>
    <w:lvl w:ilvl="8" w:tentative="0">
      <w:start w:val="1"/>
      <w:numFmt w:val="lowerRoman"/>
      <w:lvlText w:val="%9."/>
      <w:lvlJc w:val="right"/>
      <w:pPr>
        <w:ind w:left="3780" w:hanging="420"/>
      </w:pPr>
      <w:rPr>
        <w:rFonts w:hint="default"/>
        <w:w w:val="100"/>
      </w:rPr>
    </w:lvl>
  </w:abstractNum>
  <w:abstractNum w:abstractNumId="4">
    <w:nsid w:val="5C9462A6"/>
    <w:multiLevelType w:val="multilevel"/>
    <w:tmpl w:val="5C9462A6"/>
    <w:lvl w:ilvl="0" w:tentative="0">
      <w:start w:val="1"/>
      <w:numFmt w:val="decimal"/>
      <w:lvlText w:val="%1."/>
      <w:lvlJc w:val="left"/>
      <w:pPr>
        <w:ind w:left="0" w:hanging="420"/>
      </w:pPr>
      <w:rPr>
        <w:rFonts w:hint="default" w:ascii="宋体" w:hAnsi="宋体" w:eastAsia="宋体"/>
        <w:w w:val="100"/>
      </w:rPr>
    </w:lvl>
    <w:lvl w:ilvl="1" w:tentative="0">
      <w:start w:val="1"/>
      <w:numFmt w:val="lowerLetter"/>
      <w:lvlText w:val="%2)"/>
      <w:lvlJc w:val="left"/>
      <w:pPr>
        <w:ind w:left="840" w:hanging="420"/>
      </w:pPr>
      <w:rPr>
        <w:rFonts w:hint="default"/>
        <w:w w:val="100"/>
      </w:rPr>
    </w:lvl>
    <w:lvl w:ilvl="2" w:tentative="0">
      <w:start w:val="1"/>
      <w:numFmt w:val="lowerRoman"/>
      <w:lvlText w:val="%3."/>
      <w:lvlJc w:val="right"/>
      <w:pPr>
        <w:ind w:left="1260" w:hanging="420"/>
      </w:pPr>
      <w:rPr>
        <w:rFonts w:hint="default"/>
        <w:w w:val="100"/>
      </w:rPr>
    </w:lvl>
    <w:lvl w:ilvl="3" w:tentative="0">
      <w:start w:val="1"/>
      <w:numFmt w:val="decimal"/>
      <w:lvlText w:val="%4."/>
      <w:lvlJc w:val="left"/>
      <w:pPr>
        <w:ind w:left="1680" w:hanging="420"/>
      </w:pPr>
      <w:rPr>
        <w:rFonts w:hint="default"/>
        <w:w w:val="100"/>
      </w:rPr>
    </w:lvl>
    <w:lvl w:ilvl="4" w:tentative="0">
      <w:start w:val="1"/>
      <w:numFmt w:val="lowerLetter"/>
      <w:lvlText w:val="%5)"/>
      <w:lvlJc w:val="left"/>
      <w:pPr>
        <w:ind w:left="2100" w:hanging="420"/>
      </w:pPr>
      <w:rPr>
        <w:rFonts w:hint="default"/>
        <w:w w:val="100"/>
      </w:rPr>
    </w:lvl>
    <w:lvl w:ilvl="5" w:tentative="0">
      <w:start w:val="1"/>
      <w:numFmt w:val="lowerRoman"/>
      <w:lvlText w:val="%6."/>
      <w:lvlJc w:val="right"/>
      <w:pPr>
        <w:ind w:left="2520" w:hanging="420"/>
      </w:pPr>
      <w:rPr>
        <w:rFonts w:hint="default"/>
        <w:w w:val="100"/>
      </w:rPr>
    </w:lvl>
    <w:lvl w:ilvl="6" w:tentative="0">
      <w:start w:val="1"/>
      <w:numFmt w:val="decimal"/>
      <w:lvlText w:val="%7."/>
      <w:lvlJc w:val="left"/>
      <w:pPr>
        <w:ind w:left="2940" w:hanging="420"/>
      </w:pPr>
      <w:rPr>
        <w:rFonts w:hint="default"/>
        <w:w w:val="100"/>
      </w:rPr>
    </w:lvl>
    <w:lvl w:ilvl="7" w:tentative="0">
      <w:start w:val="1"/>
      <w:numFmt w:val="lowerLetter"/>
      <w:lvlText w:val="%8)"/>
      <w:lvlJc w:val="left"/>
      <w:pPr>
        <w:ind w:left="3360" w:hanging="420"/>
      </w:pPr>
      <w:rPr>
        <w:rFonts w:hint="default"/>
        <w:w w:val="100"/>
      </w:rPr>
    </w:lvl>
    <w:lvl w:ilvl="8" w:tentative="0">
      <w:start w:val="1"/>
      <w:numFmt w:val="lowerRoman"/>
      <w:lvlText w:val="%9."/>
      <w:lvlJc w:val="right"/>
      <w:pPr>
        <w:ind w:left="3780" w:hanging="420"/>
      </w:pPr>
      <w:rPr>
        <w:rFonts w:hint="default"/>
        <w:w w:val="100"/>
      </w:rPr>
    </w:lvl>
  </w:abstractNum>
  <w:abstractNum w:abstractNumId="5">
    <w:nsid w:val="5C9462A7"/>
    <w:multiLevelType w:val="multilevel"/>
    <w:tmpl w:val="5C9462A7"/>
    <w:lvl w:ilvl="0" w:tentative="0">
      <w:start w:val="1"/>
      <w:numFmt w:val="decimal"/>
      <w:lvlText w:val="%1."/>
      <w:lvlJc w:val="left"/>
      <w:pPr>
        <w:ind w:left="562" w:hanging="420"/>
      </w:pPr>
      <w:rPr>
        <w:rFonts w:hint="default" w:ascii="宋体" w:hAnsi="宋体" w:eastAsia="宋体"/>
        <w:b w:val="0"/>
        <w:w w:val="100"/>
      </w:rPr>
    </w:lvl>
    <w:lvl w:ilvl="1" w:tentative="0">
      <w:start w:val="1"/>
      <w:numFmt w:val="lowerLetter"/>
      <w:lvlText w:val="%2)"/>
      <w:lvlJc w:val="left"/>
      <w:pPr>
        <w:ind w:left="1260" w:hanging="420"/>
      </w:pPr>
      <w:rPr>
        <w:rFonts w:hint="default"/>
        <w:w w:val="100"/>
      </w:rPr>
    </w:lvl>
    <w:lvl w:ilvl="2" w:tentative="0">
      <w:start w:val="1"/>
      <w:numFmt w:val="lowerRoman"/>
      <w:lvlText w:val="%3."/>
      <w:lvlJc w:val="right"/>
      <w:pPr>
        <w:ind w:left="1680" w:hanging="420"/>
      </w:pPr>
      <w:rPr>
        <w:rFonts w:hint="default"/>
        <w:w w:val="100"/>
      </w:rPr>
    </w:lvl>
    <w:lvl w:ilvl="3" w:tentative="0">
      <w:start w:val="1"/>
      <w:numFmt w:val="decimal"/>
      <w:lvlText w:val="%4."/>
      <w:lvlJc w:val="left"/>
      <w:pPr>
        <w:ind w:left="2100" w:hanging="420"/>
      </w:pPr>
      <w:rPr>
        <w:rFonts w:hint="default"/>
        <w:w w:val="100"/>
      </w:rPr>
    </w:lvl>
    <w:lvl w:ilvl="4" w:tentative="0">
      <w:start w:val="1"/>
      <w:numFmt w:val="lowerLetter"/>
      <w:lvlText w:val="%5)"/>
      <w:lvlJc w:val="left"/>
      <w:pPr>
        <w:ind w:left="2520" w:hanging="420"/>
      </w:pPr>
      <w:rPr>
        <w:rFonts w:hint="default"/>
        <w:w w:val="100"/>
      </w:rPr>
    </w:lvl>
    <w:lvl w:ilvl="5" w:tentative="0">
      <w:start w:val="1"/>
      <w:numFmt w:val="lowerRoman"/>
      <w:lvlText w:val="%6."/>
      <w:lvlJc w:val="right"/>
      <w:pPr>
        <w:ind w:left="2940" w:hanging="420"/>
      </w:pPr>
      <w:rPr>
        <w:rFonts w:hint="default"/>
        <w:w w:val="100"/>
      </w:rPr>
    </w:lvl>
    <w:lvl w:ilvl="6" w:tentative="0">
      <w:start w:val="1"/>
      <w:numFmt w:val="decimal"/>
      <w:lvlText w:val="%7."/>
      <w:lvlJc w:val="left"/>
      <w:pPr>
        <w:ind w:left="3360" w:hanging="420"/>
      </w:pPr>
      <w:rPr>
        <w:rFonts w:hint="default"/>
        <w:w w:val="100"/>
      </w:rPr>
    </w:lvl>
    <w:lvl w:ilvl="7" w:tentative="0">
      <w:start w:val="1"/>
      <w:numFmt w:val="lowerLetter"/>
      <w:lvlText w:val="%8)"/>
      <w:lvlJc w:val="left"/>
      <w:pPr>
        <w:ind w:left="3780" w:hanging="420"/>
      </w:pPr>
      <w:rPr>
        <w:rFonts w:hint="default"/>
        <w:w w:val="100"/>
      </w:rPr>
    </w:lvl>
    <w:lvl w:ilvl="8" w:tentative="0">
      <w:start w:val="1"/>
      <w:numFmt w:val="lowerRoman"/>
      <w:lvlText w:val="%9."/>
      <w:lvlJc w:val="right"/>
      <w:pPr>
        <w:ind w:left="4200" w:hanging="420"/>
      </w:pPr>
      <w:rPr>
        <w:rFonts w:hint="default"/>
        <w:w w:val="100"/>
      </w:rPr>
    </w:lvl>
  </w:abstractNum>
  <w:abstractNum w:abstractNumId="6">
    <w:nsid w:val="5C9462A8"/>
    <w:multiLevelType w:val="multilevel"/>
    <w:tmpl w:val="5C9462A8"/>
    <w:lvl w:ilvl="0" w:tentative="0">
      <w:start w:val="1"/>
      <w:numFmt w:val="decimal"/>
      <w:lvlText w:val="%1."/>
      <w:lvlJc w:val="left"/>
      <w:pPr>
        <w:ind w:left="420" w:hanging="420"/>
      </w:pPr>
      <w:rPr>
        <w:rFonts w:hint="default" w:ascii="宋体" w:hAnsi="宋体" w:eastAsia="宋体"/>
        <w:b w:val="0"/>
        <w:w w:val="100"/>
      </w:rPr>
    </w:lvl>
    <w:lvl w:ilvl="1" w:tentative="0">
      <w:start w:val="1"/>
      <w:numFmt w:val="lowerLetter"/>
      <w:lvlText w:val="%2)"/>
      <w:lvlJc w:val="left"/>
      <w:pPr>
        <w:ind w:left="840" w:hanging="420"/>
      </w:pPr>
      <w:rPr>
        <w:rFonts w:hint="default"/>
        <w:w w:val="100"/>
      </w:rPr>
    </w:lvl>
    <w:lvl w:ilvl="2" w:tentative="0">
      <w:start w:val="1"/>
      <w:numFmt w:val="lowerRoman"/>
      <w:lvlText w:val="%3."/>
      <w:lvlJc w:val="right"/>
      <w:pPr>
        <w:ind w:left="1260" w:hanging="420"/>
      </w:pPr>
      <w:rPr>
        <w:rFonts w:hint="default"/>
        <w:w w:val="100"/>
      </w:rPr>
    </w:lvl>
    <w:lvl w:ilvl="3" w:tentative="0">
      <w:start w:val="1"/>
      <w:numFmt w:val="decimal"/>
      <w:lvlText w:val="%4."/>
      <w:lvlJc w:val="left"/>
      <w:pPr>
        <w:ind w:left="1680" w:hanging="420"/>
      </w:pPr>
      <w:rPr>
        <w:rFonts w:hint="default"/>
        <w:w w:val="100"/>
      </w:rPr>
    </w:lvl>
    <w:lvl w:ilvl="4" w:tentative="0">
      <w:start w:val="1"/>
      <w:numFmt w:val="lowerLetter"/>
      <w:lvlText w:val="%5)"/>
      <w:lvlJc w:val="left"/>
      <w:pPr>
        <w:ind w:left="2100" w:hanging="420"/>
      </w:pPr>
      <w:rPr>
        <w:rFonts w:hint="default"/>
        <w:w w:val="100"/>
      </w:rPr>
    </w:lvl>
    <w:lvl w:ilvl="5" w:tentative="0">
      <w:start w:val="1"/>
      <w:numFmt w:val="lowerRoman"/>
      <w:lvlText w:val="%6."/>
      <w:lvlJc w:val="right"/>
      <w:pPr>
        <w:ind w:left="2520" w:hanging="420"/>
      </w:pPr>
      <w:rPr>
        <w:rFonts w:hint="default"/>
        <w:w w:val="100"/>
      </w:rPr>
    </w:lvl>
    <w:lvl w:ilvl="6" w:tentative="0">
      <w:start w:val="1"/>
      <w:numFmt w:val="decimal"/>
      <w:lvlText w:val="%7."/>
      <w:lvlJc w:val="left"/>
      <w:pPr>
        <w:ind w:left="2940" w:hanging="420"/>
      </w:pPr>
      <w:rPr>
        <w:rFonts w:hint="default"/>
        <w:w w:val="100"/>
      </w:rPr>
    </w:lvl>
    <w:lvl w:ilvl="7" w:tentative="0">
      <w:start w:val="1"/>
      <w:numFmt w:val="lowerLetter"/>
      <w:lvlText w:val="%8)"/>
      <w:lvlJc w:val="left"/>
      <w:pPr>
        <w:ind w:left="3360" w:hanging="420"/>
      </w:pPr>
      <w:rPr>
        <w:rFonts w:hint="default"/>
        <w:w w:val="100"/>
      </w:rPr>
    </w:lvl>
    <w:lvl w:ilvl="8" w:tentative="0">
      <w:start w:val="1"/>
      <w:numFmt w:val="lowerRoman"/>
      <w:lvlText w:val="%9."/>
      <w:lvlJc w:val="right"/>
      <w:pPr>
        <w:ind w:left="3780" w:hanging="420"/>
      </w:pPr>
      <w:rPr>
        <w:rFonts w:hint="default"/>
        <w:w w:val="100"/>
      </w:rPr>
    </w:lvl>
  </w:abstractNum>
  <w:abstractNum w:abstractNumId="7">
    <w:nsid w:val="74507D15"/>
    <w:multiLevelType w:val="multilevel"/>
    <w:tmpl w:val="74507D15"/>
    <w:lvl w:ilvl="0" w:tentative="0">
      <w:start w:val="1"/>
      <w:numFmt w:val="decimal"/>
      <w:lvlText w:val="%1."/>
      <w:lvlJc w:val="left"/>
      <w:pPr>
        <w:ind w:left="420" w:hanging="420"/>
      </w:pPr>
      <w:rPr>
        <w:rFonts w:hint="default" w:ascii="宋体" w:hAnsi="宋体" w:eastAsia="宋体"/>
        <w:b w:val="0"/>
        <w:w w:val="100"/>
      </w:rPr>
    </w:lvl>
    <w:lvl w:ilvl="1" w:tentative="0">
      <w:start w:val="1"/>
      <w:numFmt w:val="lowerLetter"/>
      <w:lvlText w:val="%2)"/>
      <w:lvlJc w:val="left"/>
      <w:pPr>
        <w:ind w:left="840" w:hanging="420"/>
      </w:pPr>
      <w:rPr>
        <w:rFonts w:hint="default"/>
        <w:w w:val="100"/>
      </w:rPr>
    </w:lvl>
    <w:lvl w:ilvl="2" w:tentative="0">
      <w:start w:val="1"/>
      <w:numFmt w:val="lowerRoman"/>
      <w:lvlText w:val="%3."/>
      <w:lvlJc w:val="right"/>
      <w:pPr>
        <w:ind w:left="1260" w:hanging="420"/>
      </w:pPr>
      <w:rPr>
        <w:rFonts w:hint="default"/>
        <w:w w:val="100"/>
      </w:rPr>
    </w:lvl>
    <w:lvl w:ilvl="3" w:tentative="0">
      <w:start w:val="1"/>
      <w:numFmt w:val="decimal"/>
      <w:lvlText w:val="%4."/>
      <w:lvlJc w:val="left"/>
      <w:pPr>
        <w:ind w:left="1680" w:hanging="420"/>
      </w:pPr>
      <w:rPr>
        <w:rFonts w:hint="default"/>
        <w:w w:val="100"/>
      </w:rPr>
    </w:lvl>
    <w:lvl w:ilvl="4" w:tentative="0">
      <w:start w:val="1"/>
      <w:numFmt w:val="lowerLetter"/>
      <w:lvlText w:val="%5)"/>
      <w:lvlJc w:val="left"/>
      <w:pPr>
        <w:ind w:left="2100" w:hanging="420"/>
      </w:pPr>
      <w:rPr>
        <w:rFonts w:hint="default"/>
        <w:w w:val="100"/>
      </w:rPr>
    </w:lvl>
    <w:lvl w:ilvl="5" w:tentative="0">
      <w:start w:val="1"/>
      <w:numFmt w:val="lowerRoman"/>
      <w:lvlText w:val="%6."/>
      <w:lvlJc w:val="right"/>
      <w:pPr>
        <w:ind w:left="2520" w:hanging="420"/>
      </w:pPr>
      <w:rPr>
        <w:rFonts w:hint="default"/>
        <w:w w:val="100"/>
      </w:rPr>
    </w:lvl>
    <w:lvl w:ilvl="6" w:tentative="0">
      <w:start w:val="1"/>
      <w:numFmt w:val="decimal"/>
      <w:lvlText w:val="%7."/>
      <w:lvlJc w:val="left"/>
      <w:pPr>
        <w:ind w:left="2940" w:hanging="420"/>
      </w:pPr>
      <w:rPr>
        <w:rFonts w:hint="default"/>
        <w:w w:val="100"/>
      </w:rPr>
    </w:lvl>
    <w:lvl w:ilvl="7" w:tentative="0">
      <w:start w:val="1"/>
      <w:numFmt w:val="lowerLetter"/>
      <w:lvlText w:val="%8)"/>
      <w:lvlJc w:val="left"/>
      <w:pPr>
        <w:ind w:left="3360" w:hanging="420"/>
      </w:pPr>
      <w:rPr>
        <w:rFonts w:hint="default"/>
        <w:w w:val="100"/>
      </w:rPr>
    </w:lvl>
    <w:lvl w:ilvl="8" w:tentative="0">
      <w:start w:val="1"/>
      <w:numFmt w:val="lowerRoman"/>
      <w:lvlText w:val="%9."/>
      <w:lvlJc w:val="right"/>
      <w:pPr>
        <w:ind w:left="3780" w:hanging="420"/>
      </w:pPr>
      <w:rPr>
        <w:rFonts w:hint="default"/>
        <w:w w:val="100"/>
      </w:rPr>
    </w:lvl>
  </w:abstractNum>
  <w:num w:numId="1">
    <w:abstractNumId w:val="3"/>
  </w:num>
  <w:num w:numId="2">
    <w:abstractNumId w:val="2"/>
  </w:num>
  <w:num w:numId="3">
    <w:abstractNumId w:val="1"/>
  </w:num>
  <w:num w:numId="4">
    <w:abstractNumId w:val="4"/>
  </w:num>
  <w:num w:numId="5">
    <w:abstractNumId w:val="5"/>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687"/>
    <w:rsid w:val="00003734"/>
    <w:rsid w:val="0000748C"/>
    <w:rsid w:val="00020456"/>
    <w:rsid w:val="00046EE1"/>
    <w:rsid w:val="0008751E"/>
    <w:rsid w:val="0013274C"/>
    <w:rsid w:val="00163FF7"/>
    <w:rsid w:val="0016500B"/>
    <w:rsid w:val="001E199B"/>
    <w:rsid w:val="00215B06"/>
    <w:rsid w:val="002335BA"/>
    <w:rsid w:val="002631AE"/>
    <w:rsid w:val="00277459"/>
    <w:rsid w:val="00287830"/>
    <w:rsid w:val="002A128D"/>
    <w:rsid w:val="002C0500"/>
    <w:rsid w:val="002C341D"/>
    <w:rsid w:val="002D1C39"/>
    <w:rsid w:val="002D4E3C"/>
    <w:rsid w:val="002E6687"/>
    <w:rsid w:val="003205ED"/>
    <w:rsid w:val="00324AD4"/>
    <w:rsid w:val="003928D8"/>
    <w:rsid w:val="003F09C5"/>
    <w:rsid w:val="00421EB6"/>
    <w:rsid w:val="00470FB5"/>
    <w:rsid w:val="004A6299"/>
    <w:rsid w:val="004D3B4F"/>
    <w:rsid w:val="004F26ED"/>
    <w:rsid w:val="00530BB1"/>
    <w:rsid w:val="00557069"/>
    <w:rsid w:val="005A4565"/>
    <w:rsid w:val="0060685D"/>
    <w:rsid w:val="006611EF"/>
    <w:rsid w:val="006670AF"/>
    <w:rsid w:val="006B6ADF"/>
    <w:rsid w:val="006E48FD"/>
    <w:rsid w:val="00701316"/>
    <w:rsid w:val="00741669"/>
    <w:rsid w:val="007A57EF"/>
    <w:rsid w:val="007C531E"/>
    <w:rsid w:val="007E3FC3"/>
    <w:rsid w:val="00847047"/>
    <w:rsid w:val="008657BF"/>
    <w:rsid w:val="008A379E"/>
    <w:rsid w:val="00997C38"/>
    <w:rsid w:val="009D5849"/>
    <w:rsid w:val="00A61862"/>
    <w:rsid w:val="00A80A50"/>
    <w:rsid w:val="00A94B56"/>
    <w:rsid w:val="00AA59A5"/>
    <w:rsid w:val="00AB2196"/>
    <w:rsid w:val="00B14317"/>
    <w:rsid w:val="00B34A05"/>
    <w:rsid w:val="00BA4823"/>
    <w:rsid w:val="00C045DB"/>
    <w:rsid w:val="00C36127"/>
    <w:rsid w:val="00CC7C4B"/>
    <w:rsid w:val="00CF6254"/>
    <w:rsid w:val="00D340C4"/>
    <w:rsid w:val="00D4099C"/>
    <w:rsid w:val="00D70C36"/>
    <w:rsid w:val="00D712A9"/>
    <w:rsid w:val="00DA2316"/>
    <w:rsid w:val="00DB333A"/>
    <w:rsid w:val="00DB5340"/>
    <w:rsid w:val="00DE60CD"/>
    <w:rsid w:val="00DE6836"/>
    <w:rsid w:val="00E36F15"/>
    <w:rsid w:val="00E604EF"/>
    <w:rsid w:val="00EC5C59"/>
    <w:rsid w:val="00F217E2"/>
    <w:rsid w:val="00F55E54"/>
    <w:rsid w:val="00F8332D"/>
    <w:rsid w:val="00FC6F9C"/>
    <w:rsid w:val="0FFF57F8"/>
    <w:rsid w:val="111F49FE"/>
    <w:rsid w:val="16E44174"/>
    <w:rsid w:val="1C363B1E"/>
    <w:rsid w:val="1C9F706C"/>
    <w:rsid w:val="1EBB3AE3"/>
    <w:rsid w:val="291B2C97"/>
    <w:rsid w:val="3D5B3E1F"/>
    <w:rsid w:val="447A2C79"/>
    <w:rsid w:val="4BB8067B"/>
    <w:rsid w:val="551F341E"/>
    <w:rsid w:val="6F5D0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qFormat="1" w:unhideWhenUsed="0" w:uiPriority="0" w:semiHidden="0"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lang w:val="en-US" w:eastAsia="zh-CN" w:bidi="ar-SA"/>
    </w:rPr>
  </w:style>
  <w:style w:type="paragraph" w:styleId="4">
    <w:name w:val="heading 1"/>
    <w:basedOn w:val="1"/>
    <w:next w:val="1"/>
    <w:link w:val="18"/>
    <w:qFormat/>
    <w:uiPriority w:val="9"/>
    <w:pPr>
      <w:widowControl/>
      <w:spacing w:before="100" w:beforeAutospacing="1" w:after="100" w:afterAutospacing="1"/>
      <w:jc w:val="left"/>
      <w:outlineLvl w:val="0"/>
    </w:pPr>
    <w:rPr>
      <w:rFonts w:eastAsiaTheme="minorEastAsia"/>
      <w:b/>
      <w:bCs/>
      <w:kern w:val="36"/>
      <w:sz w:val="36"/>
      <w:szCs w:val="4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ind w:right="-26"/>
      <w:jc w:val="center"/>
    </w:pPr>
    <w:rPr>
      <w:b/>
      <w:bCs/>
      <w:kern w:val="2"/>
      <w:sz w:val="84"/>
      <w:szCs w:val="84"/>
      <w:lang w:val="zh-CN"/>
    </w:rPr>
  </w:style>
  <w:style w:type="paragraph" w:styleId="3">
    <w:name w:val="toc 5"/>
    <w:basedOn w:val="1"/>
    <w:next w:val="1"/>
    <w:qFormat/>
    <w:uiPriority w:val="0"/>
    <w:pPr>
      <w:widowControl/>
      <w:ind w:left="1680" w:leftChars="800"/>
    </w:pPr>
    <w:rPr>
      <w:rFonts w:ascii="Times New Roman"/>
      <w:sz w:val="21"/>
    </w:rPr>
  </w:style>
  <w:style w:type="paragraph" w:styleId="5">
    <w:name w:val="annotation text"/>
    <w:basedOn w:val="1"/>
    <w:semiHidden/>
    <w:unhideWhenUsed/>
    <w:qFormat/>
    <w:uiPriority w:val="99"/>
    <w:pPr>
      <w:jc w:val="left"/>
    </w:pPr>
  </w:style>
  <w:style w:type="paragraph" w:styleId="6">
    <w:name w:val="footer"/>
    <w:basedOn w:val="1"/>
    <w:link w:val="25"/>
    <w:unhideWhenUsed/>
    <w:qFormat/>
    <w:uiPriority w:val="99"/>
    <w:pPr>
      <w:tabs>
        <w:tab w:val="center" w:pos="4153"/>
        <w:tab w:val="right" w:pos="8306"/>
      </w:tabs>
      <w:snapToGrid w:val="0"/>
      <w:jc w:val="left"/>
    </w:pPr>
    <w:rPr>
      <w:sz w:val="18"/>
      <w:szCs w:val="18"/>
    </w:rPr>
  </w:style>
  <w:style w:type="paragraph" w:styleId="7">
    <w:name w:val="header"/>
    <w:basedOn w:val="1"/>
    <w:link w:val="24"/>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footnote text"/>
    <w:basedOn w:val="1"/>
    <w:link w:val="15"/>
    <w:qFormat/>
    <w:uiPriority w:val="0"/>
    <w:pPr>
      <w:snapToGrid w:val="0"/>
      <w:jc w:val="left"/>
    </w:pPr>
    <w:rPr>
      <w:rFonts w:ascii="Times New Roman" w:hAnsi="Times New Roman" w:cs="Times New Roman"/>
      <w:kern w:val="2"/>
      <w:sz w:val="18"/>
      <w:szCs w:val="18"/>
    </w:rPr>
  </w:style>
  <w:style w:type="paragraph" w:styleId="9">
    <w:name w:val="toc 2"/>
    <w:basedOn w:val="1"/>
    <w:next w:val="1"/>
    <w:unhideWhenUsed/>
    <w:qFormat/>
    <w:uiPriority w:val="39"/>
    <w:pPr>
      <w:ind w:left="420" w:leftChars="200"/>
    </w:pPr>
    <w:rPr>
      <w:rFonts w:ascii="Times New Roman" w:hAnsi="Times New Roman" w:cs="Times New Roman"/>
      <w:kern w:val="2"/>
      <w:sz w:val="24"/>
    </w:rPr>
  </w:style>
  <w:style w:type="table" w:styleId="11">
    <w:name w:val="Table Grid"/>
    <w:basedOn w:val="1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unhideWhenUsed/>
    <w:qFormat/>
    <w:uiPriority w:val="99"/>
    <w:rPr>
      <w:sz w:val="21"/>
      <w:szCs w:val="21"/>
    </w:rPr>
  </w:style>
  <w:style w:type="character" w:styleId="14">
    <w:name w:val="footnote reference"/>
    <w:qFormat/>
    <w:uiPriority w:val="0"/>
    <w:rPr>
      <w:vertAlign w:val="superscript"/>
    </w:rPr>
  </w:style>
  <w:style w:type="character" w:customStyle="1" w:styleId="15">
    <w:name w:val="脚注文本 Char"/>
    <w:basedOn w:val="12"/>
    <w:link w:val="8"/>
    <w:qFormat/>
    <w:uiPriority w:val="0"/>
    <w:rPr>
      <w:rFonts w:ascii="Times New Roman" w:hAnsi="Times New Roman" w:eastAsia="宋体" w:cs="Times New Roman"/>
      <w:sz w:val="18"/>
      <w:szCs w:val="18"/>
    </w:rPr>
  </w:style>
  <w:style w:type="paragraph" w:customStyle="1" w:styleId="16">
    <w:name w:val="正文，段落，小四，22磅行距"/>
    <w:basedOn w:val="1"/>
    <w:link w:val="17"/>
    <w:qFormat/>
    <w:uiPriority w:val="0"/>
    <w:pPr>
      <w:spacing w:line="440" w:lineRule="exact"/>
      <w:ind w:firstLine="420"/>
    </w:pPr>
    <w:rPr>
      <w:rFonts w:ascii="Calibri" w:hAnsi="Calibri" w:cs="Times New Roman"/>
      <w:kern w:val="2"/>
      <w:sz w:val="24"/>
      <w:szCs w:val="24"/>
    </w:rPr>
  </w:style>
  <w:style w:type="character" w:customStyle="1" w:styleId="17">
    <w:name w:val="正文，段落，小四，22磅行距 Char"/>
    <w:link w:val="16"/>
    <w:qFormat/>
    <w:uiPriority w:val="0"/>
    <w:rPr>
      <w:rFonts w:ascii="Calibri" w:hAnsi="Calibri" w:eastAsia="宋体" w:cs="Times New Roman"/>
      <w:sz w:val="24"/>
      <w:szCs w:val="24"/>
    </w:rPr>
  </w:style>
  <w:style w:type="character" w:customStyle="1" w:styleId="18">
    <w:name w:val="标题 1 Char"/>
    <w:basedOn w:val="12"/>
    <w:link w:val="4"/>
    <w:qFormat/>
    <w:uiPriority w:val="9"/>
    <w:rPr>
      <w:rFonts w:ascii="宋体" w:hAnsi="宋体" w:cs="宋体"/>
      <w:b/>
      <w:bCs/>
      <w:kern w:val="36"/>
      <w:sz w:val="36"/>
      <w:szCs w:val="48"/>
    </w:rPr>
  </w:style>
  <w:style w:type="paragraph" w:customStyle="1" w:styleId="19">
    <w:name w:val="*正文"/>
    <w:basedOn w:val="1"/>
    <w:link w:val="20"/>
    <w:qFormat/>
    <w:uiPriority w:val="0"/>
    <w:pPr>
      <w:spacing w:line="360" w:lineRule="auto"/>
      <w:ind w:firstLine="482"/>
    </w:pPr>
    <w:rPr>
      <w:rFonts w:cs="仿宋_GB2312"/>
      <w:kern w:val="2"/>
      <w:sz w:val="24"/>
      <w:szCs w:val="24"/>
    </w:rPr>
  </w:style>
  <w:style w:type="character" w:customStyle="1" w:styleId="20">
    <w:name w:val="*正文 Char"/>
    <w:link w:val="19"/>
    <w:qFormat/>
    <w:uiPriority w:val="0"/>
    <w:rPr>
      <w:rFonts w:ascii="宋体" w:hAnsi="宋体" w:eastAsia="宋体" w:cs="仿宋_GB2312"/>
      <w:sz w:val="24"/>
      <w:szCs w:val="24"/>
    </w:rPr>
  </w:style>
  <w:style w:type="character" w:customStyle="1" w:styleId="21">
    <w:name w:val="正文新 Char"/>
    <w:link w:val="22"/>
    <w:qFormat/>
    <w:uiPriority w:val="0"/>
    <w:rPr>
      <w:sz w:val="24"/>
      <w:szCs w:val="24"/>
    </w:rPr>
  </w:style>
  <w:style w:type="paragraph" w:customStyle="1" w:styleId="22">
    <w:name w:val="正文新"/>
    <w:basedOn w:val="23"/>
    <w:link w:val="21"/>
    <w:qFormat/>
    <w:uiPriority w:val="0"/>
    <w:pPr>
      <w:spacing w:line="360" w:lineRule="auto"/>
      <w:ind w:firstLine="480"/>
    </w:pPr>
    <w:rPr>
      <w:rFonts w:asciiTheme="minorHAnsi" w:hAnsiTheme="minorHAnsi" w:eastAsiaTheme="minorEastAsia" w:cstheme="minorBidi"/>
      <w:kern w:val="2"/>
      <w:sz w:val="24"/>
      <w:szCs w:val="24"/>
    </w:rPr>
  </w:style>
  <w:style w:type="paragraph" w:styleId="23">
    <w:name w:val="List Paragraph"/>
    <w:basedOn w:val="1"/>
    <w:qFormat/>
    <w:uiPriority w:val="34"/>
    <w:pPr>
      <w:ind w:firstLine="420" w:firstLineChars="200"/>
    </w:pPr>
  </w:style>
  <w:style w:type="character" w:customStyle="1" w:styleId="24">
    <w:name w:val="页眉 Char"/>
    <w:basedOn w:val="12"/>
    <w:link w:val="7"/>
    <w:qFormat/>
    <w:uiPriority w:val="99"/>
    <w:rPr>
      <w:rFonts w:ascii="宋体" w:hAnsi="宋体" w:eastAsia="宋体" w:cs="宋体"/>
      <w:kern w:val="0"/>
      <w:sz w:val="18"/>
      <w:szCs w:val="18"/>
    </w:rPr>
  </w:style>
  <w:style w:type="character" w:customStyle="1" w:styleId="25">
    <w:name w:val="页脚 Char"/>
    <w:basedOn w:val="12"/>
    <w:link w:val="6"/>
    <w:qFormat/>
    <w:uiPriority w:val="99"/>
    <w:rPr>
      <w:rFonts w:ascii="宋体" w:hAnsi="宋体" w:eastAsia="宋体" w:cs="宋体"/>
      <w:kern w:val="0"/>
      <w:sz w:val="18"/>
      <w:szCs w:val="18"/>
    </w:rPr>
  </w:style>
  <w:style w:type="paragraph" w:customStyle="1" w:styleId="26">
    <w:name w:val="B"/>
    <w:basedOn w:val="1"/>
    <w:qFormat/>
    <w:uiPriority w:val="0"/>
    <w:pPr>
      <w:numPr>
        <w:ilvl w:val="1"/>
        <w:numId w:val="1"/>
      </w:numPr>
      <w:jc w:val="left"/>
      <w:outlineLvl w:val="1"/>
    </w:pPr>
    <w:rPr>
      <w:rFonts w:ascii="Arial" w:hAnsi="Arial" w:cs="Times New Roman"/>
      <w:b/>
      <w:kern w:val="2"/>
      <w:sz w:val="30"/>
      <w:lang w:val="zh-CN"/>
    </w:rPr>
  </w:style>
  <w:style w:type="paragraph" w:customStyle="1" w:styleId="27">
    <w:name w:val="_正文样式"/>
    <w:basedOn w:val="1"/>
    <w:qFormat/>
    <w:uiPriority w:val="0"/>
    <w:pPr>
      <w:spacing w:line="360" w:lineRule="auto"/>
      <w:ind w:firstLine="20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FA9E4-2E45-4E37-8025-38B9A83EDF08}">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4</Pages>
  <Words>2564</Words>
  <Characters>2618</Characters>
  <Lines>20</Lines>
  <Paragraphs>5</Paragraphs>
  <TotalTime>11</TotalTime>
  <ScaleCrop>false</ScaleCrop>
  <LinksUpToDate>false</LinksUpToDate>
  <CharactersWithSpaces>2628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2022-09-21T02:41:00Z</dcterms:created>
  <dc:creator>banji-01</dc:creator>
  <cp:lastModifiedBy>呼拉拉</cp:lastModifiedBy>
  <dcterms:modified xsi:type="dcterms:W3CDTF">2026-06-17T02:57:27Z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92AA97C05E2046559446637A45B05674_13</vt:lpwstr>
  </property>
  <property fmtid="{D5CDD505-2E9C-101B-9397-08002B2CF9AE}" pid="4" name="KSOTemplateDocerSaveRecord">
    <vt:lpwstr>eyJoZGlkIjoiMzAxMTM4NTQ1ZjBlYjk1ZDQ2YzNlMGY1NTU2ZWQ2ODQiLCJ1c2VySWQiOiI1MjY1NDQ4MjMifQ==</vt:lpwstr>
  </property>
</Properties>
</file>