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643B4">
      <w:pPr>
        <w:pStyle w:val="6"/>
        <w:jc w:val="center"/>
        <w:outlineLvl w:val="1"/>
        <w:rPr>
          <w:rFonts w:asciiTheme="minorEastAsia" w:hAnsiTheme="minorEastAsia" w:cstheme="minorEastAsia"/>
        </w:rPr>
      </w:pPr>
      <w:r>
        <w:rPr>
          <w:rFonts w:asciiTheme="minorEastAsia" w:hAnsiTheme="minorEastAsia" w:cstheme="minorEastAsia"/>
          <w:b/>
          <w:sz w:val="36"/>
        </w:rPr>
        <w:t>采购需求</w:t>
      </w:r>
    </w:p>
    <w:p w14:paraId="19DE7E17">
      <w:pPr>
        <w:pStyle w:val="6"/>
        <w:outlineLvl w:val="2"/>
        <w:rPr>
          <w:rFonts w:asciiTheme="minorEastAsia" w:hAnsiTheme="minorEastAsia" w:cstheme="minorEastAsia"/>
        </w:rPr>
      </w:pPr>
      <w:r>
        <w:rPr>
          <w:rFonts w:asciiTheme="minorEastAsia" w:hAnsiTheme="minorEastAsia" w:cstheme="minorEastAsia"/>
          <w:b/>
          <w:sz w:val="28"/>
        </w:rPr>
        <w:t>一、项目概况：</w:t>
      </w:r>
    </w:p>
    <w:p w14:paraId="3A704D63">
      <w:pPr>
        <w:pStyle w:val="6"/>
        <w:ind w:firstLine="420"/>
        <w:jc w:val="both"/>
        <w:rPr>
          <w:rFonts w:asciiTheme="minorEastAsia" w:hAnsiTheme="minorEastAsia" w:cstheme="minorEastAsia"/>
          <w:sz w:val="21"/>
        </w:rPr>
      </w:pPr>
      <w:r>
        <w:rPr>
          <w:rFonts w:asciiTheme="minorEastAsia" w:hAnsiTheme="minorEastAsia" w:cstheme="minorEastAsia"/>
          <w:sz w:val="21"/>
        </w:rPr>
        <w:t>1</w:t>
      </w:r>
      <w:r>
        <w:rPr>
          <w:rFonts w:asciiTheme="minorEastAsia" w:hAnsiTheme="minorEastAsia" w:cstheme="minorEastAsia"/>
          <w:sz w:val="21"/>
          <w:lang w:eastAsia="zh-CN"/>
        </w:rPr>
        <w:t>.</w:t>
      </w:r>
      <w:r>
        <w:rPr>
          <w:rFonts w:asciiTheme="minorEastAsia" w:hAnsiTheme="minorEastAsia" w:cstheme="minorEastAsia"/>
          <w:sz w:val="21"/>
        </w:rPr>
        <w:t>本项目为</w:t>
      </w:r>
      <w:r>
        <w:rPr>
          <w:rFonts w:asciiTheme="minorEastAsia" w:hAnsiTheme="minorEastAsia" w:cstheme="minorEastAsia"/>
          <w:color w:val="0000FF"/>
          <w:sz w:val="21"/>
        </w:rPr>
        <w:t>中山市人民医院</w:t>
      </w:r>
      <w:r>
        <w:rPr>
          <w:rFonts w:hint="eastAsia" w:asciiTheme="minorEastAsia" w:hAnsiTheme="minorEastAsia" w:cstheme="minorEastAsia"/>
          <w:color w:val="0000FF"/>
          <w:sz w:val="21"/>
          <w:lang w:val="en-US" w:eastAsia="zh-CN"/>
        </w:rPr>
        <w:t>互联网医院诊疗平台维保</w:t>
      </w:r>
      <w:r>
        <w:rPr>
          <w:rFonts w:asciiTheme="minorEastAsia" w:hAnsiTheme="minorEastAsia" w:cstheme="minorEastAsia"/>
          <w:color w:val="0000FF"/>
          <w:sz w:val="21"/>
        </w:rPr>
        <w:t>项目</w:t>
      </w:r>
      <w:r>
        <w:rPr>
          <w:rFonts w:asciiTheme="minorEastAsia" w:hAnsiTheme="minorEastAsia" w:cstheme="minorEastAsia"/>
          <w:sz w:val="21"/>
        </w:rPr>
        <w:t>，中标人必须按国家、行业的标准及采购文件的要求对本项目提供相应的货物及服务。</w:t>
      </w:r>
    </w:p>
    <w:p w14:paraId="367F04EE">
      <w:pPr>
        <w:pStyle w:val="6"/>
        <w:ind w:firstLine="420"/>
        <w:jc w:val="both"/>
        <w:rPr>
          <w:rFonts w:asciiTheme="minorEastAsia" w:hAnsiTheme="minorEastAsia" w:cstheme="minorEastAsia"/>
          <w:sz w:val="21"/>
        </w:rPr>
      </w:pPr>
      <w:r>
        <w:rPr>
          <w:rFonts w:asciiTheme="minorEastAsia" w:hAnsiTheme="minorEastAsia" w:cstheme="minorEastAsia"/>
          <w:sz w:val="21"/>
        </w:rPr>
        <w:t>2</w:t>
      </w:r>
      <w:r>
        <w:rPr>
          <w:rFonts w:asciiTheme="minorEastAsia" w:hAnsiTheme="minorEastAsia" w:cstheme="minorEastAsia"/>
          <w:sz w:val="21"/>
          <w:lang w:eastAsia="zh-CN"/>
        </w:rPr>
        <w:t>.</w:t>
      </w:r>
      <w:r>
        <w:rPr>
          <w:rFonts w:asciiTheme="minorEastAsia" w:hAnsiTheme="minorEastAsia" w:cstheme="minorEastAsia"/>
          <w:sz w:val="21"/>
        </w:rPr>
        <w:t>《采购需求》中凡有“★”标识的内容条款(如有)被视为实质性响应项目、指标；投标人必须对此</w:t>
      </w:r>
      <w:r>
        <w:rPr>
          <w:rFonts w:hint="eastAsia" w:asciiTheme="minorEastAsia" w:hAnsiTheme="minorEastAsia" w:cstheme="minorEastAsia"/>
          <w:sz w:val="21"/>
          <w:lang w:eastAsia="zh-CN"/>
        </w:rPr>
        <w:t>作出</w:t>
      </w:r>
      <w:r>
        <w:rPr>
          <w:rFonts w:asciiTheme="minorEastAsia" w:hAnsiTheme="minorEastAsia" w:cstheme="minorEastAsia"/>
          <w:sz w:val="21"/>
        </w:rPr>
        <w:t>回答并完全满足这些要求不可以出现任何负偏离，如果出现负偏离将被视为无效投标。凡有“▲”的内容（如有）为重点评审项目，投标人必须对该标识项目按照要求进行真实应答描述。</w:t>
      </w:r>
    </w:p>
    <w:p w14:paraId="3C867627">
      <w:pPr>
        <w:pStyle w:val="6"/>
        <w:ind w:firstLine="420"/>
        <w:jc w:val="both"/>
        <w:rPr>
          <w:rFonts w:asciiTheme="minorEastAsia" w:hAnsiTheme="minorEastAsia" w:cstheme="minorEastAsia"/>
          <w:sz w:val="21"/>
        </w:rPr>
      </w:pPr>
      <w:r>
        <w:rPr>
          <w:rFonts w:asciiTheme="minorEastAsia" w:hAnsiTheme="minorEastAsia" w:cstheme="minorEastAsia"/>
          <w:sz w:val="21"/>
        </w:rPr>
        <w:t>3</w:t>
      </w:r>
      <w:r>
        <w:rPr>
          <w:rFonts w:asciiTheme="minorEastAsia" w:hAnsiTheme="minorEastAsia" w:cstheme="minorEastAsia"/>
          <w:sz w:val="21"/>
          <w:lang w:eastAsia="zh-CN"/>
        </w:rPr>
        <w:t>.</w:t>
      </w:r>
      <w:r>
        <w:rPr>
          <w:rFonts w:asciiTheme="minorEastAsia" w:hAnsiTheme="minorEastAsia" w:cstheme="minorEastAsia"/>
          <w:sz w:val="21"/>
        </w:rPr>
        <w:t>本项目由中标人负责采购文件对中标人要求的一切事宜及责任。投标报价中不得包含采购文件要求以外的内容，否则，在评标时不予核减；若投标报价有缺漏项的，缺漏项部分的价格视为已包含在投标报价中，中标后不</w:t>
      </w:r>
      <w:r>
        <w:rPr>
          <w:rFonts w:hint="eastAsia" w:asciiTheme="minorEastAsia" w:hAnsiTheme="minorEastAsia" w:cstheme="minorEastAsia"/>
          <w:sz w:val="21"/>
          <w:lang w:eastAsia="zh-CN"/>
        </w:rPr>
        <w:t>做</w:t>
      </w:r>
      <w:r>
        <w:rPr>
          <w:rFonts w:asciiTheme="minorEastAsia" w:hAnsiTheme="minorEastAsia" w:cstheme="minorEastAsia"/>
          <w:sz w:val="21"/>
        </w:rPr>
        <w:t>任何调整，采购人将不再支付任何费用。</w:t>
      </w:r>
    </w:p>
    <w:p w14:paraId="5C4A43EF">
      <w:pPr>
        <w:pStyle w:val="6"/>
        <w:ind w:firstLine="420"/>
        <w:jc w:val="both"/>
        <w:rPr>
          <w:rFonts w:asciiTheme="minorEastAsia" w:hAnsiTheme="minorEastAsia" w:cstheme="minorEastAsia"/>
          <w:sz w:val="21"/>
          <w:lang w:eastAsia="zh-CN"/>
        </w:rPr>
      </w:pPr>
      <w:r>
        <w:rPr>
          <w:rFonts w:asciiTheme="minorEastAsia" w:hAnsiTheme="minorEastAsia" w:cstheme="minorEastAsia"/>
          <w:sz w:val="21"/>
        </w:rPr>
        <w:t>4</w:t>
      </w:r>
      <w:r>
        <w:rPr>
          <w:rFonts w:asciiTheme="minorEastAsia" w:hAnsiTheme="minorEastAsia" w:cstheme="minorEastAsia"/>
          <w:sz w:val="21"/>
          <w:lang w:eastAsia="zh-CN"/>
        </w:rPr>
        <w:t>.</w:t>
      </w:r>
      <w:r>
        <w:rPr>
          <w:sz w:val="21"/>
        </w:rPr>
        <w:t>投标人报价不得高于项目预算金额。本项目为投标总价包干承包项目，报价应包括完成本项目全部内容的费用，包括但不限于人工、保险、伴随服务、拟投入工具及材料、一切税费及服务过程中的不可预见费等合同履行相关的费用均包含在投标总价中。合同价在执行期间保持不变，中标人不得再以其他任何形式向采购人索要增加任何的费用。</w:t>
      </w:r>
    </w:p>
    <w:p w14:paraId="62C32994">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5.</w:t>
      </w:r>
      <w:r>
        <w:rPr>
          <w:rFonts w:asciiTheme="minorEastAsia" w:hAnsiTheme="minorEastAsia" w:cstheme="minorEastAsia"/>
          <w:sz w:val="21"/>
        </w:rPr>
        <w:t>本项目不接受联合体投标。</w:t>
      </w:r>
    </w:p>
    <w:p w14:paraId="79639699">
      <w:pPr>
        <w:pStyle w:val="6"/>
        <w:outlineLvl w:val="2"/>
        <w:rPr>
          <w:rFonts w:asciiTheme="minorEastAsia" w:hAnsiTheme="minorEastAsia" w:cstheme="minorEastAsia"/>
          <w:b/>
          <w:sz w:val="28"/>
        </w:rPr>
      </w:pPr>
      <w:r>
        <w:rPr>
          <w:rFonts w:asciiTheme="minorEastAsia" w:hAnsiTheme="minorEastAsia" w:cstheme="minorEastAsia"/>
          <w:b/>
          <w:sz w:val="28"/>
          <w:lang w:eastAsia="zh-CN"/>
        </w:rPr>
        <w:t>二、</w:t>
      </w:r>
      <w:r>
        <w:rPr>
          <w:rFonts w:asciiTheme="minorEastAsia" w:hAnsiTheme="minorEastAsia" w:cstheme="minorEastAsia"/>
          <w:b/>
          <w:sz w:val="28"/>
        </w:rPr>
        <w:t>建设背景</w:t>
      </w:r>
    </w:p>
    <w:p w14:paraId="2255A07B">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2</w:t>
      </w:r>
      <w:r>
        <w:rPr>
          <w:rFonts w:hint="default" w:asciiTheme="minorEastAsia" w:hAnsiTheme="minorEastAsia" w:cstheme="minorEastAsia"/>
          <w:sz w:val="21"/>
          <w:lang w:eastAsia="zh-CN"/>
        </w:rPr>
        <w:t>.1</w:t>
      </w:r>
      <w:r>
        <w:rPr>
          <w:rFonts w:asciiTheme="minorEastAsia" w:hAnsiTheme="minorEastAsia" w:cstheme="minorEastAsia"/>
          <w:sz w:val="21"/>
        </w:rPr>
        <w:t>单位简介</w:t>
      </w:r>
    </w:p>
    <w:p w14:paraId="34718E8C">
      <w:pPr>
        <w:pStyle w:val="6"/>
        <w:ind w:firstLine="420"/>
        <w:jc w:val="both"/>
        <w:rPr>
          <w:rFonts w:asciiTheme="minorEastAsia" w:hAnsiTheme="minorEastAsia" w:cstheme="minorEastAsia"/>
          <w:sz w:val="21"/>
        </w:rPr>
      </w:pPr>
      <w:r>
        <w:rPr>
          <w:rFonts w:asciiTheme="minorEastAsia" w:hAnsiTheme="minorEastAsia" w:cstheme="minorEastAsia"/>
          <w:sz w:val="21"/>
        </w:rPr>
        <w:t>中山市人民医院位于中山市中心城区，坐落在莲峰山麓，是集医疗、教学、科研、预防保健为一体的综合性“三级甲等医院”，是中山大学附属中山医院、中山大学中山医学院临床研究生教学基地、广东省全科医师规范化培训基地和医学教育基地和广东医学院的临床学院。先后荣膺“爱婴医院”、“广东省高等医学院校教学医院”、“百家文明医院”、“广东省信息化示范单位”、“卫生部数字化医院试点示范单位”、“全国医药卫生系统先进集体”、“全国构建和谐关系示范医院”等光荣称号。</w:t>
      </w:r>
    </w:p>
    <w:p w14:paraId="55DDC108">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2</w:t>
      </w:r>
      <w:r>
        <w:rPr>
          <w:rFonts w:hint="default" w:asciiTheme="minorEastAsia" w:hAnsiTheme="minorEastAsia" w:cstheme="minorEastAsia"/>
          <w:sz w:val="21"/>
          <w:lang w:eastAsia="zh-CN"/>
        </w:rPr>
        <w:t>.2</w:t>
      </w:r>
      <w:r>
        <w:rPr>
          <w:rFonts w:asciiTheme="minorEastAsia" w:hAnsiTheme="minorEastAsia" w:cstheme="minorEastAsia"/>
          <w:sz w:val="21"/>
        </w:rPr>
        <w:t>现状情况</w:t>
      </w:r>
    </w:p>
    <w:p w14:paraId="795CABF9">
      <w:pPr>
        <w:pStyle w:val="6"/>
        <w:ind w:firstLine="420"/>
        <w:jc w:val="both"/>
        <w:rPr>
          <w:rFonts w:asciiTheme="minorEastAsia" w:hAnsiTheme="minorEastAsia" w:cstheme="minorEastAsia"/>
          <w:color w:val="000000" w:themeColor="text1"/>
          <w:sz w:val="21"/>
          <w:lang w:eastAsia="zh-CN"/>
          <w14:textFill>
            <w14:solidFill>
              <w14:schemeClr w14:val="tx1"/>
            </w14:solidFill>
          </w14:textFill>
        </w:rPr>
      </w:pPr>
      <w:r>
        <w:rPr>
          <w:rFonts w:hint="eastAsia" w:asciiTheme="minorEastAsia" w:hAnsiTheme="minorEastAsia" w:cstheme="minorEastAsia"/>
          <w:color w:val="000000" w:themeColor="text1"/>
          <w:sz w:val="21"/>
          <w:lang w:eastAsia="zh-CN"/>
          <w14:textFill>
            <w14:solidFill>
              <w14:schemeClr w14:val="tx1"/>
            </w14:solidFill>
          </w14:textFill>
        </w:rPr>
        <w:t>互联网医院诊疗平台</w:t>
      </w:r>
      <w:r>
        <w:rPr>
          <w:rFonts w:asciiTheme="minorEastAsia" w:hAnsiTheme="minorEastAsia" w:cstheme="minorEastAsia"/>
          <w:color w:val="000000" w:themeColor="text1"/>
          <w:sz w:val="21"/>
          <w:lang w:eastAsia="zh-CN"/>
          <w14:textFill>
            <w14:solidFill>
              <w14:schemeClr w14:val="tx1"/>
            </w14:solidFill>
          </w14:textFill>
        </w:rPr>
        <w:t>业务涉及全院</w:t>
      </w:r>
      <w:r>
        <w:rPr>
          <w:rFonts w:hint="eastAsia" w:asciiTheme="minorEastAsia" w:hAnsiTheme="minorEastAsia" w:cstheme="minorEastAsia"/>
          <w:color w:val="000000" w:themeColor="text1"/>
          <w:sz w:val="21"/>
          <w:lang w:val="en-US" w:eastAsia="zh-CN"/>
          <w14:textFill>
            <w14:solidFill>
              <w14:schemeClr w14:val="tx1"/>
            </w14:solidFill>
          </w14:textFill>
        </w:rPr>
        <w:t>门诊</w:t>
      </w:r>
      <w:r>
        <w:rPr>
          <w:rFonts w:asciiTheme="minorEastAsia" w:hAnsiTheme="minorEastAsia" w:cstheme="minorEastAsia"/>
          <w:color w:val="000000" w:themeColor="text1"/>
          <w:sz w:val="21"/>
          <w:lang w:eastAsia="zh-CN"/>
          <w14:textFill>
            <w14:solidFill>
              <w14:schemeClr w14:val="tx1"/>
            </w14:solidFill>
          </w14:textFill>
        </w:rPr>
        <w:t>系统模块和接口，是医院运营的基础系统，为应对业务快速变化，保障医院的稳定运营及医疗安全，实现精细化管理，需高效的系统运维及快速开发迭代。</w:t>
      </w:r>
    </w:p>
    <w:p w14:paraId="73597743">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2</w:t>
      </w:r>
      <w:r>
        <w:rPr>
          <w:rFonts w:hint="default" w:asciiTheme="minorEastAsia" w:hAnsiTheme="minorEastAsia" w:cstheme="minorEastAsia"/>
          <w:sz w:val="21"/>
          <w:lang w:eastAsia="zh-CN"/>
        </w:rPr>
        <w:t>.3</w:t>
      </w:r>
      <w:r>
        <w:rPr>
          <w:rFonts w:asciiTheme="minorEastAsia" w:hAnsiTheme="minorEastAsia" w:cstheme="minorEastAsia"/>
          <w:sz w:val="21"/>
        </w:rPr>
        <w:t>服务目标</w:t>
      </w:r>
    </w:p>
    <w:p w14:paraId="372C9630">
      <w:pPr>
        <w:pStyle w:val="6"/>
        <w:ind w:firstLine="420"/>
        <w:jc w:val="both"/>
        <w:rPr>
          <w:rFonts w:asciiTheme="minorEastAsia" w:hAnsiTheme="minorEastAsia" w:cstheme="minorEastAsia"/>
          <w:sz w:val="21"/>
        </w:rPr>
      </w:pPr>
      <w:r>
        <w:rPr>
          <w:rFonts w:asciiTheme="minorEastAsia" w:hAnsiTheme="minorEastAsia" w:cstheme="minorEastAsia"/>
          <w:sz w:val="21"/>
        </w:rPr>
        <w:t>为保障</w:t>
      </w:r>
      <w:r>
        <w:rPr>
          <w:rFonts w:hint="eastAsia" w:asciiTheme="minorEastAsia" w:hAnsiTheme="minorEastAsia" w:cstheme="minorEastAsia"/>
          <w:sz w:val="21"/>
          <w:lang w:eastAsia="zh-CN"/>
        </w:rPr>
        <w:t>互联网医院诊疗平台</w:t>
      </w:r>
      <w:r>
        <w:rPr>
          <w:rFonts w:asciiTheme="minorEastAsia" w:hAnsiTheme="minorEastAsia" w:cstheme="minorEastAsia"/>
          <w:sz w:val="21"/>
        </w:rPr>
        <w:t>正常运行，并进一步规范诊疗行为、优化服务流程、提升医疗效率，实现统一数据管理，</w:t>
      </w:r>
      <w:r>
        <w:rPr>
          <w:rFonts w:asciiTheme="minorEastAsia" w:hAnsiTheme="minorEastAsia" w:cstheme="minorEastAsia"/>
          <w:sz w:val="21"/>
          <w:lang w:eastAsia="zh-CN"/>
        </w:rPr>
        <w:t>高级</w:t>
      </w:r>
      <w:r>
        <w:rPr>
          <w:rFonts w:asciiTheme="minorEastAsia" w:hAnsiTheme="minorEastAsia" w:cstheme="minorEastAsia"/>
          <w:sz w:val="21"/>
        </w:rPr>
        <w:t>医疗决策支持，本次项目建设目标如下：</w:t>
      </w:r>
    </w:p>
    <w:p w14:paraId="2180FA8E">
      <w:pPr>
        <w:pStyle w:val="6"/>
        <w:numPr>
          <w:ilvl w:val="0"/>
          <w:numId w:val="1"/>
        </w:numPr>
        <w:ind w:firstLine="420"/>
        <w:jc w:val="both"/>
        <w:rPr>
          <w:rFonts w:asciiTheme="minorEastAsia" w:hAnsiTheme="minorEastAsia" w:cstheme="minorEastAsia"/>
          <w:sz w:val="21"/>
        </w:rPr>
      </w:pPr>
      <w:r>
        <w:rPr>
          <w:rFonts w:asciiTheme="minorEastAsia" w:hAnsiTheme="minorEastAsia" w:cstheme="minorEastAsia"/>
          <w:sz w:val="21"/>
        </w:rPr>
        <w:t>保障现有</w:t>
      </w:r>
      <w:r>
        <w:rPr>
          <w:rFonts w:hint="eastAsia" w:asciiTheme="minorEastAsia" w:hAnsiTheme="minorEastAsia" w:cstheme="minorEastAsia"/>
          <w:sz w:val="21"/>
          <w:lang w:val="en-US" w:eastAsia="zh-CN"/>
        </w:rPr>
        <w:t>互联网医院诊疗平台</w:t>
      </w:r>
      <w:r>
        <w:rPr>
          <w:rFonts w:asciiTheme="minorEastAsia" w:hAnsiTheme="minorEastAsia" w:cstheme="minorEastAsia"/>
          <w:sz w:val="21"/>
        </w:rPr>
        <w:t>系统的正常、稳定运行，维护系统安全；</w:t>
      </w:r>
    </w:p>
    <w:p w14:paraId="17C30A46">
      <w:pPr>
        <w:rPr>
          <w:b/>
          <w:sz w:val="28"/>
          <w:szCs w:val="28"/>
        </w:rPr>
      </w:pPr>
      <w:r>
        <w:rPr>
          <w:rFonts w:hint="eastAsia" w:ascii="Arial" w:hAnsi="Arial"/>
          <w:b/>
          <w:color w:val="000000"/>
          <w:kern w:val="44"/>
          <w:sz w:val="28"/>
          <w:szCs w:val="28"/>
        </w:rPr>
        <w:t>三、</w:t>
      </w:r>
      <w:r>
        <w:rPr>
          <w:rFonts w:hint="eastAsia"/>
          <w:b/>
          <w:sz w:val="28"/>
          <w:szCs w:val="28"/>
        </w:rPr>
        <w:t>项目建设内容</w:t>
      </w:r>
    </w:p>
    <w:p w14:paraId="3E489FFB">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3</w:t>
      </w:r>
      <w:r>
        <w:rPr>
          <w:rFonts w:hint="default" w:asciiTheme="minorEastAsia" w:hAnsiTheme="minorEastAsia" w:cstheme="minorEastAsia"/>
          <w:sz w:val="21"/>
          <w:lang w:eastAsia="zh-CN"/>
        </w:rPr>
        <w:t>.1</w:t>
      </w:r>
    </w:p>
    <w:tbl>
      <w:tblPr>
        <w:tblStyle w:val="4"/>
        <w:tblW w:w="86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6534"/>
      </w:tblGrid>
      <w:tr w14:paraId="5B4B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tcPr>
          <w:p w14:paraId="786BE3C6">
            <w:pPr>
              <w:pStyle w:val="6"/>
              <w:jc w:val="center"/>
              <w:rPr>
                <w:rFonts w:asciiTheme="minorEastAsia" w:hAnsiTheme="minorEastAsia" w:cstheme="minorEastAsia"/>
                <w:color w:val="0000FF"/>
                <w:sz w:val="21"/>
              </w:rPr>
            </w:pPr>
            <w:r>
              <w:rPr>
                <w:rFonts w:hint="eastAsia" w:asciiTheme="minorEastAsia" w:hAnsiTheme="minorEastAsia" w:cstheme="minorEastAsia"/>
                <w:color w:val="0000FF"/>
                <w:sz w:val="21"/>
                <w:lang w:val="en-US" w:eastAsia="zh-CN"/>
              </w:rPr>
              <w:t>系统维保</w:t>
            </w:r>
            <w:r>
              <w:rPr>
                <w:rFonts w:asciiTheme="minorEastAsia" w:hAnsiTheme="minorEastAsia" w:cstheme="minorEastAsia"/>
                <w:color w:val="0000FF"/>
                <w:sz w:val="21"/>
              </w:rPr>
              <w:t>期</w:t>
            </w:r>
          </w:p>
        </w:tc>
        <w:tc>
          <w:tcPr>
            <w:tcW w:w="6534" w:type="dxa"/>
            <w:vAlign w:val="center"/>
          </w:tcPr>
          <w:p w14:paraId="07D35311">
            <w:pPr>
              <w:pStyle w:val="6"/>
              <w:jc w:val="center"/>
              <w:rPr>
                <w:rFonts w:asciiTheme="minorEastAsia" w:hAnsiTheme="minorEastAsia" w:cstheme="minorEastAsia"/>
                <w:color w:val="0000FF"/>
                <w:sz w:val="21"/>
              </w:rPr>
            </w:pPr>
            <w:r>
              <w:rPr>
                <w:rFonts w:asciiTheme="minorEastAsia" w:hAnsiTheme="minorEastAsia" w:cstheme="minorEastAsia"/>
                <w:color w:val="0000FF"/>
                <w:sz w:val="21"/>
              </w:rPr>
              <w:t>自合同签订之日起提供</w:t>
            </w:r>
            <w:r>
              <w:rPr>
                <w:rFonts w:hint="eastAsia" w:asciiTheme="minorEastAsia" w:hAnsiTheme="minorEastAsia" w:cstheme="minorEastAsia"/>
                <w:color w:val="0000FF"/>
                <w:sz w:val="21"/>
                <w:lang w:val="en-US" w:eastAsia="zh-CN"/>
              </w:rPr>
              <w:t>1</w:t>
            </w:r>
            <w:r>
              <w:rPr>
                <w:rFonts w:asciiTheme="minorEastAsia" w:hAnsiTheme="minorEastAsia" w:cstheme="minorEastAsia"/>
                <w:color w:val="0000FF"/>
                <w:sz w:val="21"/>
              </w:rPr>
              <w:t>年的系统维保服务。</w:t>
            </w:r>
          </w:p>
        </w:tc>
      </w:tr>
    </w:tbl>
    <w:p w14:paraId="1E86C587">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3</w:t>
      </w:r>
      <w:r>
        <w:rPr>
          <w:rFonts w:hint="default" w:asciiTheme="minorEastAsia" w:hAnsiTheme="minorEastAsia" w:cstheme="minorEastAsia"/>
          <w:sz w:val="21"/>
          <w:lang w:eastAsia="zh-CN"/>
        </w:rPr>
        <w:t>.2</w:t>
      </w:r>
      <w:r>
        <w:rPr>
          <w:rFonts w:asciiTheme="minorEastAsia" w:hAnsiTheme="minorEastAsia" w:cstheme="minorEastAsia"/>
          <w:sz w:val="21"/>
        </w:rPr>
        <w:t>服务内容</w:t>
      </w:r>
    </w:p>
    <w:p w14:paraId="4D9B7446">
      <w:pPr>
        <w:pStyle w:val="6"/>
        <w:ind w:firstLine="420"/>
        <w:jc w:val="both"/>
        <w:rPr>
          <w:rFonts w:asciiTheme="minorEastAsia" w:hAnsiTheme="minorEastAsia" w:cstheme="minorEastAsia"/>
          <w:sz w:val="21"/>
        </w:rPr>
      </w:pPr>
      <w:r>
        <w:rPr>
          <w:rFonts w:asciiTheme="minorEastAsia" w:hAnsiTheme="minorEastAsia" w:cstheme="minorEastAsia"/>
          <w:sz w:val="21"/>
          <w:lang w:eastAsia="zh-CN"/>
        </w:rPr>
        <w:t>3.2.1</w:t>
      </w:r>
      <w:r>
        <w:rPr>
          <w:rFonts w:asciiTheme="minorEastAsia" w:hAnsiTheme="minorEastAsia" w:cstheme="minorEastAsia"/>
          <w:sz w:val="21"/>
        </w:rPr>
        <w:t>服务范围</w:t>
      </w:r>
    </w:p>
    <w:p w14:paraId="5F5D7DFF">
      <w:pPr>
        <w:pStyle w:val="6"/>
        <w:ind w:firstLine="420"/>
        <w:jc w:val="both"/>
        <w:rPr>
          <w:rFonts w:asciiTheme="minorEastAsia" w:hAnsiTheme="minorEastAsia" w:cstheme="minorEastAsia"/>
          <w:color w:val="000000" w:themeColor="text1"/>
          <w:sz w:val="21"/>
          <w14:textFill>
            <w14:solidFill>
              <w14:schemeClr w14:val="tx1"/>
            </w14:solidFill>
          </w14:textFill>
        </w:rPr>
      </w:pPr>
      <w:r>
        <w:rPr>
          <w:rFonts w:asciiTheme="minorEastAsia" w:hAnsiTheme="minorEastAsia" w:cstheme="minorEastAsia"/>
          <w:sz w:val="21"/>
        </w:rPr>
        <w:t>①</w:t>
      </w:r>
      <w:r>
        <w:rPr>
          <w:rFonts w:asciiTheme="minorEastAsia" w:hAnsiTheme="minorEastAsia" w:cstheme="minorEastAsia"/>
          <w:color w:val="000000" w:themeColor="text1"/>
          <w:sz w:val="21"/>
          <w14:textFill>
            <w14:solidFill>
              <w14:schemeClr w14:val="tx1"/>
            </w14:solidFill>
          </w14:textFill>
        </w:rPr>
        <w:t>现有项目的维护：当前</w:t>
      </w:r>
      <w:r>
        <w:rPr>
          <w:rFonts w:hint="eastAsia" w:asciiTheme="minorEastAsia" w:hAnsiTheme="minorEastAsia" w:cstheme="minorEastAsia"/>
          <w:color w:val="000000" w:themeColor="text1"/>
          <w:sz w:val="21"/>
          <w:lang w:eastAsia="zh-CN"/>
          <w14:textFill>
            <w14:solidFill>
              <w14:schemeClr w14:val="tx1"/>
            </w14:solidFill>
          </w14:textFill>
        </w:rPr>
        <w:t>互联网医院诊疗平台</w:t>
      </w:r>
      <w:r>
        <w:rPr>
          <w:rFonts w:asciiTheme="minorEastAsia" w:hAnsiTheme="minorEastAsia" w:cstheme="minorEastAsia"/>
          <w:color w:val="000000" w:themeColor="text1"/>
          <w:sz w:val="21"/>
          <w14:textFill>
            <w14:solidFill>
              <w14:schemeClr w14:val="tx1"/>
            </w14:solidFill>
          </w14:textFill>
        </w:rPr>
        <w:t>包含以下软件模块：</w:t>
      </w:r>
    </w:p>
    <w:tbl>
      <w:tblPr>
        <w:tblStyle w:val="8"/>
        <w:tblW w:w="8581"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1538"/>
        <w:gridCol w:w="6287"/>
      </w:tblGrid>
      <w:tr w14:paraId="02343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756" w:type="dxa"/>
            <w:vAlign w:val="top"/>
          </w:tcPr>
          <w:p w14:paraId="3CDB8185">
            <w:pPr>
              <w:pStyle w:val="7"/>
              <w:spacing w:before="112" w:line="199" w:lineRule="auto"/>
              <w:jc w:val="center"/>
            </w:pPr>
            <w:r>
              <w:rPr>
                <w:b/>
                <w:bCs/>
                <w:spacing w:val="-4"/>
              </w:rPr>
              <w:t>序号</w:t>
            </w:r>
          </w:p>
        </w:tc>
        <w:tc>
          <w:tcPr>
            <w:tcW w:w="1538" w:type="dxa"/>
            <w:vAlign w:val="top"/>
          </w:tcPr>
          <w:p w14:paraId="7F388D0B">
            <w:pPr>
              <w:pStyle w:val="7"/>
              <w:spacing w:before="40" w:line="219" w:lineRule="auto"/>
              <w:ind w:left="343"/>
              <w:jc w:val="both"/>
            </w:pPr>
            <w:r>
              <w:rPr>
                <w:b/>
                <w:bCs/>
                <w:spacing w:val="-4"/>
              </w:rPr>
              <w:t>模块名称</w:t>
            </w:r>
          </w:p>
        </w:tc>
        <w:tc>
          <w:tcPr>
            <w:tcW w:w="6287" w:type="dxa"/>
            <w:vAlign w:val="top"/>
          </w:tcPr>
          <w:p w14:paraId="3C4EF0BD">
            <w:pPr>
              <w:pStyle w:val="7"/>
              <w:spacing w:before="30" w:line="219" w:lineRule="auto"/>
              <w:ind w:left="1605"/>
              <w:jc w:val="both"/>
            </w:pPr>
            <w:r>
              <w:rPr>
                <w:b/>
                <w:bCs/>
                <w:spacing w:val="-4"/>
              </w:rPr>
              <w:t>具体参数和要求</w:t>
            </w:r>
          </w:p>
        </w:tc>
      </w:tr>
      <w:tr w14:paraId="54602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56" w:type="dxa"/>
            <w:vAlign w:val="top"/>
          </w:tcPr>
          <w:p w14:paraId="43A6377D">
            <w:pPr>
              <w:pStyle w:val="7"/>
              <w:spacing w:before="116" w:line="235" w:lineRule="auto"/>
              <w:rPr>
                <w:rFonts w:hint="default" w:eastAsia="宋体"/>
                <w:lang w:val="en-US" w:eastAsia="zh-CN"/>
              </w:rPr>
            </w:pPr>
            <w:r>
              <w:rPr>
                <w:rFonts w:hint="eastAsia"/>
                <w:lang w:val="en-US" w:eastAsia="zh-CN"/>
              </w:rPr>
              <w:t>1</w:t>
            </w:r>
          </w:p>
        </w:tc>
        <w:tc>
          <w:tcPr>
            <w:tcW w:w="1538" w:type="dxa"/>
            <w:vAlign w:val="top"/>
          </w:tcPr>
          <w:p w14:paraId="2EAEA386">
            <w:pPr>
              <w:pStyle w:val="7"/>
              <w:spacing w:before="57" w:line="238" w:lineRule="auto"/>
              <w:ind w:right="129"/>
              <w:rPr>
                <w:color w:val="000000" w:themeColor="text1"/>
                <w14:textFill>
                  <w14:solidFill>
                    <w14:schemeClr w14:val="tx1"/>
                  </w14:solidFill>
                </w14:textFill>
              </w:rPr>
            </w:pPr>
            <w:r>
              <w:rPr>
                <w:color w:val="000000" w:themeColor="text1"/>
                <w:spacing w:val="1"/>
                <w14:textFill>
                  <w14:solidFill>
                    <w14:schemeClr w14:val="tx1"/>
                  </w14:solidFill>
                </w14:textFill>
              </w:rPr>
              <w:t>▲监管平台对</w:t>
            </w:r>
            <w:r>
              <w:rPr>
                <w:color w:val="000000" w:themeColor="text1"/>
                <w14:textFill>
                  <w14:solidFill>
                    <w14:schemeClr w14:val="tx1"/>
                  </w14:solidFill>
                </w14:textFill>
              </w:rPr>
              <w:t>接</w:t>
            </w:r>
          </w:p>
        </w:tc>
        <w:tc>
          <w:tcPr>
            <w:tcW w:w="6287" w:type="dxa"/>
            <w:vAlign w:val="top"/>
          </w:tcPr>
          <w:p w14:paraId="038B835E">
            <w:pPr>
              <w:pStyle w:val="7"/>
              <w:spacing w:before="57" w:line="238" w:lineRule="auto"/>
              <w:ind w:left="101" w:right="40" w:hanging="69"/>
              <w:rPr>
                <w:rFonts w:hint="eastAsia" w:eastAsia="宋体"/>
                <w:color w:val="000000" w:themeColor="text1"/>
                <w:lang w:val="en-US" w:eastAsia="zh-CN"/>
                <w14:textFill>
                  <w14:solidFill>
                    <w14:schemeClr w14:val="tx1"/>
                  </w14:solidFill>
                </w14:textFill>
              </w:rPr>
            </w:pPr>
            <w:r>
              <w:rPr>
                <w:color w:val="000000" w:themeColor="text1"/>
                <w:spacing w:val="-1"/>
                <w14:textFill>
                  <w14:solidFill>
                    <w14:schemeClr w14:val="tx1"/>
                  </w14:solidFill>
                </w14:textFill>
              </w:rPr>
              <w:t>监管平台对接，与省级互联网医疗服务监管平台对接，</w:t>
            </w:r>
            <w:r>
              <w:rPr>
                <w:rFonts w:hint="eastAsia"/>
                <w:color w:val="000000" w:themeColor="text1"/>
                <w:spacing w:val="-1"/>
                <w:lang w:val="en-US" w:eastAsia="zh-CN"/>
                <w14:textFill>
                  <w14:solidFill>
                    <w14:schemeClr w14:val="tx1"/>
                  </w14:solidFill>
                </w14:textFill>
              </w:rPr>
              <w:t>满足</w:t>
            </w:r>
            <w:r>
              <w:rPr>
                <w:color w:val="000000" w:themeColor="text1"/>
                <w:spacing w:val="-1"/>
                <w14:textFill>
                  <w14:solidFill>
                    <w14:schemeClr w14:val="tx1"/>
                  </w14:solidFill>
                </w14:textFill>
              </w:rPr>
              <w:t>互联网医院监管</w:t>
            </w:r>
            <w:r>
              <w:rPr>
                <w:rFonts w:hint="eastAsia"/>
                <w:color w:val="000000" w:themeColor="text1"/>
                <w:spacing w:val="-1"/>
                <w:lang w:val="en-US" w:eastAsia="zh-CN"/>
                <w14:textFill>
                  <w14:solidFill>
                    <w14:schemeClr w14:val="tx1"/>
                  </w14:solidFill>
                </w14:textFill>
              </w:rPr>
              <w:t>所需要的</w:t>
            </w:r>
            <w:r>
              <w:rPr>
                <w:color w:val="000000" w:themeColor="text1"/>
                <w:spacing w:val="-1"/>
                <w14:textFill>
                  <w14:solidFill>
                    <w14:schemeClr w14:val="tx1"/>
                  </w14:solidFill>
                </w14:textFill>
              </w:rPr>
              <w:t>数据</w:t>
            </w:r>
            <w:r>
              <w:rPr>
                <w:rFonts w:hint="eastAsia"/>
                <w:color w:val="000000" w:themeColor="text1"/>
                <w:spacing w:val="-1"/>
                <w:lang w:val="en-US" w:eastAsia="zh-CN"/>
                <w14:textFill>
                  <w14:solidFill>
                    <w14:schemeClr w14:val="tx1"/>
                  </w14:solidFill>
                </w14:textFill>
              </w:rPr>
              <w:t>上传。</w:t>
            </w:r>
          </w:p>
        </w:tc>
      </w:tr>
      <w:tr w14:paraId="0BD2A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8581" w:type="dxa"/>
            <w:gridSpan w:val="3"/>
            <w:vAlign w:val="top"/>
          </w:tcPr>
          <w:p w14:paraId="6F5908A3">
            <w:pPr>
              <w:pStyle w:val="7"/>
              <w:spacing w:before="40" w:line="202" w:lineRule="auto"/>
              <w:ind w:left="3215"/>
              <w:rPr>
                <w:color w:val="000000" w:themeColor="text1"/>
                <w14:textFill>
                  <w14:solidFill>
                    <w14:schemeClr w14:val="tx1"/>
                  </w14:solidFill>
                </w14:textFill>
              </w:rPr>
            </w:pPr>
            <w:r>
              <w:rPr>
                <w:color w:val="000000" w:themeColor="text1"/>
                <w:spacing w:val="2"/>
                <w14:textFill>
                  <w14:solidFill>
                    <w14:schemeClr w14:val="tx1"/>
                  </w14:solidFill>
                </w14:textFill>
              </w:rPr>
              <w:t>互联网咨询诊疗平台</w:t>
            </w:r>
          </w:p>
        </w:tc>
      </w:tr>
      <w:tr w14:paraId="338D2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trPr>
        <w:tc>
          <w:tcPr>
            <w:tcW w:w="756" w:type="dxa"/>
            <w:vAlign w:val="top"/>
          </w:tcPr>
          <w:p w14:paraId="3D62ADE6">
            <w:pPr>
              <w:pStyle w:val="7"/>
              <w:spacing w:before="100" w:line="241" w:lineRule="auto"/>
              <w:ind w:left="145"/>
            </w:pPr>
            <w:r>
              <w:t>2</w:t>
            </w:r>
          </w:p>
        </w:tc>
        <w:tc>
          <w:tcPr>
            <w:tcW w:w="1538" w:type="dxa"/>
            <w:vAlign w:val="top"/>
          </w:tcPr>
          <w:p w14:paraId="186ACFD5">
            <w:pPr>
              <w:pStyle w:val="7"/>
              <w:spacing w:before="50" w:line="220" w:lineRule="auto"/>
              <w:ind w:left="340"/>
              <w:rPr>
                <w:color w:val="000000" w:themeColor="text1"/>
                <w14:textFill>
                  <w14:solidFill>
                    <w14:schemeClr w14:val="tx1"/>
                  </w14:solidFill>
                </w14:textFill>
              </w:rPr>
            </w:pPr>
            <w:r>
              <w:rPr>
                <w:color w:val="000000" w:themeColor="text1"/>
                <w:spacing w:val="4"/>
                <w14:textFill>
                  <w14:solidFill>
                    <w14:schemeClr w14:val="tx1"/>
                  </w14:solidFill>
                </w14:textFill>
              </w:rPr>
              <w:t>专家咨询</w:t>
            </w:r>
          </w:p>
        </w:tc>
        <w:tc>
          <w:tcPr>
            <w:tcW w:w="6287" w:type="dxa"/>
            <w:vAlign w:val="top"/>
          </w:tcPr>
          <w:p w14:paraId="624F2B5B">
            <w:pPr>
              <w:pStyle w:val="7"/>
              <w:spacing w:before="49" w:line="268" w:lineRule="auto"/>
              <w:ind w:left="91" w:right="3" w:hanging="59"/>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服务简述：患者选定医生咨询，医生在规定时间内</w:t>
            </w:r>
            <w:r>
              <w:rPr>
                <w:color w:val="000000" w:themeColor="text1"/>
                <w:spacing w:val="-1"/>
                <w14:textFill>
                  <w14:solidFill>
                    <w14:schemeClr w14:val="tx1"/>
                  </w14:solidFill>
                </w14:textFill>
              </w:rPr>
              <w:t>利用空余时间为患者提供服务</w:t>
            </w:r>
            <w:r>
              <w:rPr>
                <w:rFonts w:hint="eastAsia"/>
                <w:color w:val="000000" w:themeColor="text1"/>
                <w:spacing w:val="-1"/>
                <w:lang w:eastAsia="zh-CN"/>
                <w14:textFill>
                  <w14:solidFill>
                    <w14:schemeClr w14:val="tx1"/>
                  </w14:solidFill>
                </w14:textFill>
              </w:rPr>
              <w:t>；</w:t>
            </w:r>
          </w:p>
          <w:p w14:paraId="14DA2AF8">
            <w:pPr>
              <w:pStyle w:val="7"/>
              <w:spacing w:line="219" w:lineRule="auto"/>
              <w:ind w:left="102"/>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服务特点：患者指定医生，无需预约医生号源</w:t>
            </w:r>
            <w:r>
              <w:rPr>
                <w:rFonts w:hint="eastAsia"/>
                <w:color w:val="000000" w:themeColor="text1"/>
                <w:spacing w:val="-1"/>
                <w:lang w:eastAsia="zh-CN"/>
                <w14:textFill>
                  <w14:solidFill>
                    <w14:schemeClr w14:val="tx1"/>
                  </w14:solidFill>
                </w14:textFill>
              </w:rPr>
              <w:t>；</w:t>
            </w:r>
          </w:p>
          <w:p w14:paraId="23C2152A">
            <w:pPr>
              <w:pStyle w:val="7"/>
              <w:spacing w:before="60" w:line="202" w:lineRule="auto"/>
              <w:ind w:left="131"/>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支持沟通方式：视频、电话、图文、语音消息等</w:t>
            </w:r>
            <w:r>
              <w:rPr>
                <w:rFonts w:hint="eastAsia"/>
                <w:color w:val="000000" w:themeColor="text1"/>
                <w:spacing w:val="-1"/>
                <w:lang w:eastAsia="zh-CN"/>
                <w14:textFill>
                  <w14:solidFill>
                    <w14:schemeClr w14:val="tx1"/>
                  </w14:solidFill>
                </w14:textFill>
              </w:rPr>
              <w:t>。</w:t>
            </w:r>
          </w:p>
        </w:tc>
      </w:tr>
      <w:tr w14:paraId="32E20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9" w:hRule="atLeast"/>
        </w:trPr>
        <w:tc>
          <w:tcPr>
            <w:tcW w:w="756" w:type="dxa"/>
            <w:vAlign w:val="top"/>
          </w:tcPr>
          <w:p w14:paraId="2E1B65D3">
            <w:pPr>
              <w:pStyle w:val="7"/>
              <w:spacing w:before="81"/>
              <w:ind w:left="145"/>
            </w:pPr>
            <w:r>
              <w:t>3</w:t>
            </w:r>
          </w:p>
        </w:tc>
        <w:tc>
          <w:tcPr>
            <w:tcW w:w="1538" w:type="dxa"/>
            <w:vAlign w:val="top"/>
          </w:tcPr>
          <w:p w14:paraId="15CF6E2D">
            <w:pPr>
              <w:pStyle w:val="7"/>
              <w:spacing w:before="51" w:line="220" w:lineRule="auto"/>
              <w:ind w:left="340"/>
              <w:rPr>
                <w:color w:val="000000" w:themeColor="text1"/>
                <w14:textFill>
                  <w14:solidFill>
                    <w14:schemeClr w14:val="tx1"/>
                  </w14:solidFill>
                </w14:textFill>
              </w:rPr>
            </w:pPr>
            <w:r>
              <w:rPr>
                <w:color w:val="000000" w:themeColor="text1"/>
                <w:spacing w:val="2"/>
                <w14:textFill>
                  <w14:solidFill>
                    <w14:schemeClr w14:val="tx1"/>
                  </w14:solidFill>
                </w14:textFill>
              </w:rPr>
              <w:t>线上门诊</w:t>
            </w:r>
          </w:p>
        </w:tc>
        <w:tc>
          <w:tcPr>
            <w:tcW w:w="6287" w:type="dxa"/>
            <w:vAlign w:val="top"/>
          </w:tcPr>
          <w:p w14:paraId="0FC25AA4">
            <w:pPr>
              <w:pStyle w:val="7"/>
              <w:spacing w:before="59" w:line="264" w:lineRule="auto"/>
              <w:ind w:left="101" w:right="40" w:hanging="69"/>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服务简述：医院统一安排专家坐班为患者提供远程</w:t>
            </w:r>
            <w:r>
              <w:rPr>
                <w:color w:val="000000" w:themeColor="text1"/>
                <w14:textFill>
                  <w14:solidFill>
                    <w14:schemeClr w14:val="tx1"/>
                  </w14:solidFill>
                </w14:textFill>
              </w:rPr>
              <w:t>问诊服务，并进行后续诊疗服务</w:t>
            </w:r>
            <w:r>
              <w:rPr>
                <w:rFonts w:hint="eastAsia"/>
                <w:color w:val="000000" w:themeColor="text1"/>
                <w:lang w:eastAsia="zh-CN"/>
                <w14:textFill>
                  <w14:solidFill>
                    <w14:schemeClr w14:val="tx1"/>
                  </w14:solidFill>
                </w14:textFill>
              </w:rPr>
              <w:t>。</w:t>
            </w:r>
          </w:p>
          <w:p w14:paraId="0DBB47DA">
            <w:pPr>
              <w:pStyle w:val="7"/>
              <w:spacing w:before="1" w:line="263" w:lineRule="auto"/>
              <w:ind w:left="101" w:right="8" w:hanging="69"/>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服务特点：患者指定医生，对接医院线上互联网门</w:t>
            </w:r>
            <w:r>
              <w:rPr>
                <w:color w:val="000000" w:themeColor="text1"/>
                <w:spacing w:val="-11"/>
                <w14:textFill>
                  <w14:solidFill>
                    <w14:schemeClr w14:val="tx1"/>
                  </w14:solidFill>
                </w14:textFill>
              </w:rPr>
              <w:t>诊排班，支持非对接模式后台安排排班</w:t>
            </w:r>
            <w:r>
              <w:rPr>
                <w:rFonts w:hint="eastAsia"/>
                <w:color w:val="000000" w:themeColor="text1"/>
                <w:spacing w:val="-11"/>
                <w:lang w:eastAsia="zh-CN"/>
                <w14:textFill>
                  <w14:solidFill>
                    <w14:schemeClr w14:val="tx1"/>
                  </w14:solidFill>
                </w14:textFill>
              </w:rPr>
              <w:t>。</w:t>
            </w:r>
          </w:p>
          <w:p w14:paraId="51AC5300">
            <w:pPr>
              <w:pStyle w:val="7"/>
              <w:spacing w:before="1" w:line="200" w:lineRule="auto"/>
              <w:ind w:left="131"/>
              <w:rPr>
                <w:rFonts w:hint="eastAsia" w:eastAsia="宋体"/>
                <w:color w:val="000000" w:themeColor="text1"/>
                <w:lang w:eastAsia="zh-CN"/>
                <w14:textFill>
                  <w14:solidFill>
                    <w14:schemeClr w14:val="tx1"/>
                  </w14:solidFill>
                </w14:textFill>
              </w:rPr>
            </w:pPr>
            <w:r>
              <w:rPr>
                <w:color w:val="000000" w:themeColor="text1"/>
                <w:spacing w:val="-1"/>
                <w14:textFill>
                  <w14:solidFill>
                    <w14:schemeClr w14:val="tx1"/>
                  </w14:solidFill>
                </w14:textFill>
              </w:rPr>
              <w:t>支持沟通方式：视频、电话、图文、语音消息等</w:t>
            </w:r>
            <w:r>
              <w:rPr>
                <w:rFonts w:hint="eastAsia"/>
                <w:color w:val="000000" w:themeColor="text1"/>
                <w:spacing w:val="-1"/>
                <w:lang w:eastAsia="zh-CN"/>
                <w14:textFill>
                  <w14:solidFill>
                    <w14:schemeClr w14:val="tx1"/>
                  </w14:solidFill>
                </w14:textFill>
              </w:rPr>
              <w:t>。</w:t>
            </w:r>
          </w:p>
        </w:tc>
      </w:tr>
      <w:tr w14:paraId="5B46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56" w:type="dxa"/>
            <w:vAlign w:val="top"/>
          </w:tcPr>
          <w:p w14:paraId="6ADB84DC">
            <w:pPr>
              <w:pStyle w:val="7"/>
              <w:spacing w:before="82" w:line="241" w:lineRule="auto"/>
              <w:ind w:left="145"/>
            </w:pPr>
            <w:r>
              <w:t>4</w:t>
            </w:r>
          </w:p>
        </w:tc>
        <w:tc>
          <w:tcPr>
            <w:tcW w:w="1538" w:type="dxa"/>
            <w:vAlign w:val="top"/>
          </w:tcPr>
          <w:p w14:paraId="238A0E74">
            <w:pPr>
              <w:pStyle w:val="7"/>
              <w:spacing w:before="42" w:line="220" w:lineRule="auto"/>
              <w:rPr>
                <w:color w:val="000000" w:themeColor="text1"/>
                <w14:textFill>
                  <w14:solidFill>
                    <w14:schemeClr w14:val="tx1"/>
                  </w14:solidFill>
                </w14:textFill>
              </w:rPr>
            </w:pPr>
            <w:r>
              <w:rPr>
                <w:color w:val="000000" w:themeColor="text1"/>
                <w:spacing w:val="2"/>
                <w14:textFill>
                  <w14:solidFill>
                    <w14:schemeClr w14:val="tx1"/>
                  </w14:solidFill>
                </w14:textFill>
              </w:rPr>
              <w:t>▲在线写病历</w:t>
            </w:r>
          </w:p>
        </w:tc>
        <w:tc>
          <w:tcPr>
            <w:tcW w:w="6287" w:type="dxa"/>
            <w:vAlign w:val="top"/>
          </w:tcPr>
          <w:p w14:paraId="43DFF213">
            <w:pPr>
              <w:pStyle w:val="7"/>
              <w:spacing w:before="42" w:line="220" w:lineRule="auto"/>
              <w:ind w:left="32"/>
              <w:rPr>
                <w:color w:val="000000" w:themeColor="text1"/>
                <w14:textFill>
                  <w14:solidFill>
                    <w14:schemeClr w14:val="tx1"/>
                  </w14:solidFill>
                </w14:textFill>
              </w:rPr>
            </w:pPr>
            <w:r>
              <w:rPr>
                <w:color w:val="000000" w:themeColor="text1"/>
                <w14:textFill>
                  <w14:solidFill>
                    <w14:schemeClr w14:val="tx1"/>
                  </w14:solidFill>
                </w14:textFill>
              </w:rPr>
              <w:t>医生可针对问诊订单为患者开具线上病历，病历可</w:t>
            </w:r>
            <w:r>
              <w:rPr>
                <w:color w:val="000000" w:themeColor="text1"/>
                <w:spacing w:val="-7"/>
                <w14:textFill>
                  <w14:solidFill>
                    <w14:schemeClr w14:val="tx1"/>
                  </w14:solidFill>
                </w14:textFill>
              </w:rPr>
              <w:t>同步给患者，并自动加入患者在平台的健康档案中。</w:t>
            </w:r>
          </w:p>
        </w:tc>
      </w:tr>
      <w:tr w14:paraId="2E1FA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756" w:type="dxa"/>
            <w:vAlign w:val="top"/>
          </w:tcPr>
          <w:p w14:paraId="6C5333C5">
            <w:pPr>
              <w:pStyle w:val="7"/>
              <w:spacing w:before="112"/>
              <w:ind w:left="145"/>
            </w:pPr>
            <w:r>
              <w:t>5</w:t>
            </w:r>
          </w:p>
        </w:tc>
        <w:tc>
          <w:tcPr>
            <w:tcW w:w="1538" w:type="dxa"/>
            <w:vAlign w:val="top"/>
          </w:tcPr>
          <w:p w14:paraId="4FDC4182">
            <w:pPr>
              <w:pStyle w:val="7"/>
              <w:spacing w:before="61" w:line="219" w:lineRule="auto"/>
              <w:ind w:left="340"/>
              <w:rPr>
                <w:color w:val="000000" w:themeColor="text1"/>
                <w14:textFill>
                  <w14:solidFill>
                    <w14:schemeClr w14:val="tx1"/>
                  </w14:solidFill>
                </w14:textFill>
              </w:rPr>
            </w:pPr>
            <w:r>
              <w:rPr>
                <w:color w:val="000000" w:themeColor="text1"/>
                <w:spacing w:val="-2"/>
                <w14:textFill>
                  <w14:solidFill>
                    <w14:schemeClr w14:val="tx1"/>
                  </w14:solidFill>
                </w14:textFill>
              </w:rPr>
              <w:t>病历管理</w:t>
            </w:r>
          </w:p>
        </w:tc>
        <w:tc>
          <w:tcPr>
            <w:tcW w:w="6287" w:type="dxa"/>
            <w:vAlign w:val="top"/>
          </w:tcPr>
          <w:p w14:paraId="7D640B9A">
            <w:pPr>
              <w:pStyle w:val="7"/>
              <w:spacing w:before="61" w:line="219" w:lineRule="auto"/>
              <w:ind w:left="32"/>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医生可在线管理自己开具的线上病历，支持病历的</w:t>
            </w:r>
            <w:r>
              <w:rPr>
                <w:color w:val="000000" w:themeColor="text1"/>
                <w:spacing w:val="-1"/>
                <w14:textFill>
                  <w14:solidFill>
                    <w14:schemeClr w14:val="tx1"/>
                  </w14:solidFill>
                </w14:textFill>
              </w:rPr>
              <w:t>补写、完善病历的提醒</w:t>
            </w:r>
            <w:r>
              <w:rPr>
                <w:rFonts w:hint="eastAsia"/>
                <w:color w:val="000000" w:themeColor="text1"/>
                <w:spacing w:val="-1"/>
                <w:lang w:eastAsia="zh-CN"/>
                <w14:textFill>
                  <w14:solidFill>
                    <w14:schemeClr w14:val="tx1"/>
                  </w14:solidFill>
                </w14:textFill>
              </w:rPr>
              <w:t>。</w:t>
            </w:r>
          </w:p>
        </w:tc>
      </w:tr>
      <w:tr w14:paraId="68086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9" w:hRule="atLeast"/>
        </w:trPr>
        <w:tc>
          <w:tcPr>
            <w:tcW w:w="756" w:type="dxa"/>
            <w:vAlign w:val="top"/>
          </w:tcPr>
          <w:p w14:paraId="5583E4D6">
            <w:pPr>
              <w:pStyle w:val="7"/>
              <w:spacing w:before="92"/>
              <w:ind w:left="145"/>
            </w:pPr>
            <w:r>
              <w:t>6</w:t>
            </w:r>
          </w:p>
        </w:tc>
        <w:tc>
          <w:tcPr>
            <w:tcW w:w="1538" w:type="dxa"/>
            <w:vAlign w:val="top"/>
          </w:tcPr>
          <w:p w14:paraId="611B232C">
            <w:pPr>
              <w:pStyle w:val="7"/>
              <w:spacing w:before="52" w:line="220" w:lineRule="auto"/>
              <w:rPr>
                <w:color w:val="000000" w:themeColor="text1"/>
                <w14:textFill>
                  <w14:solidFill>
                    <w14:schemeClr w14:val="tx1"/>
                  </w14:solidFill>
                </w14:textFill>
              </w:rPr>
            </w:pPr>
            <w:r>
              <w:rPr>
                <w:color w:val="000000" w:themeColor="text1"/>
                <w:spacing w:val="1"/>
                <w14:textFill>
                  <w14:solidFill>
                    <w14:schemeClr w14:val="tx1"/>
                  </w14:solidFill>
                </w14:textFill>
              </w:rPr>
              <w:t>▲复诊开方</w:t>
            </w:r>
          </w:p>
        </w:tc>
        <w:tc>
          <w:tcPr>
            <w:tcW w:w="6287" w:type="dxa"/>
            <w:vAlign w:val="top"/>
          </w:tcPr>
          <w:p w14:paraId="7BE80E8A">
            <w:pPr>
              <w:pStyle w:val="7"/>
              <w:spacing w:before="51" w:line="264" w:lineRule="auto"/>
              <w:ind w:left="32" w:firstLine="49"/>
              <w:rPr>
                <w:color w:val="000000" w:themeColor="text1"/>
                <w14:textFill>
                  <w14:solidFill>
                    <w14:schemeClr w14:val="tx1"/>
                  </w14:solidFill>
                </w14:textFill>
              </w:rPr>
            </w:pPr>
            <w:r>
              <w:rPr>
                <w:color w:val="000000" w:themeColor="text1"/>
                <w:spacing w:val="-1"/>
                <w14:textFill>
                  <w14:solidFill>
                    <w14:schemeClr w14:val="tx1"/>
                  </w14:solidFill>
                </w14:textFill>
              </w:rPr>
              <w:t>患者可找医生进行线上复诊，医生结合患者病情，为慢病复诊患者开具线上电子处方。患者接收</w:t>
            </w:r>
            <w:r>
              <w:rPr>
                <w:color w:val="000000" w:themeColor="text1"/>
                <w:spacing w:val="-2"/>
                <w14:textFill>
                  <w14:solidFill>
                    <w14:schemeClr w14:val="tx1"/>
                  </w14:solidFill>
                </w14:textFill>
              </w:rPr>
              <w:t>处方</w:t>
            </w:r>
            <w:r>
              <w:rPr>
                <w:color w:val="000000" w:themeColor="text1"/>
                <w:spacing w:val="-1"/>
                <w14:textFill>
                  <w14:solidFill>
                    <w14:schemeClr w14:val="tx1"/>
                  </w14:solidFill>
                </w14:textFill>
              </w:rPr>
              <w:t>后可网上购药；医生可在线开具合规电子处方，提供诊断库、药品库等服务；6岁以下儿童、患者初复诊身份均有相应提醒。</w:t>
            </w:r>
          </w:p>
        </w:tc>
      </w:tr>
      <w:tr w14:paraId="1F1C6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56" w:type="dxa"/>
            <w:vAlign w:val="top"/>
          </w:tcPr>
          <w:p w14:paraId="240D4B40">
            <w:pPr>
              <w:pStyle w:val="7"/>
              <w:spacing w:before="93"/>
              <w:ind w:left="145"/>
            </w:pPr>
            <w:r>
              <w:t>7</w:t>
            </w:r>
          </w:p>
        </w:tc>
        <w:tc>
          <w:tcPr>
            <w:tcW w:w="1538" w:type="dxa"/>
            <w:vAlign w:val="top"/>
          </w:tcPr>
          <w:p w14:paraId="03238290">
            <w:pPr>
              <w:pStyle w:val="7"/>
              <w:spacing w:before="52" w:line="219" w:lineRule="auto"/>
              <w:ind w:left="340"/>
              <w:rPr>
                <w:color w:val="000000" w:themeColor="text1"/>
                <w14:textFill>
                  <w14:solidFill>
                    <w14:schemeClr w14:val="tx1"/>
                  </w14:solidFill>
                </w14:textFill>
              </w:rPr>
            </w:pPr>
            <w:r>
              <w:rPr>
                <w:color w:val="000000" w:themeColor="text1"/>
                <w:spacing w:val="-3"/>
                <w14:textFill>
                  <w14:solidFill>
                    <w14:schemeClr w14:val="tx1"/>
                  </w14:solidFill>
                </w14:textFill>
              </w:rPr>
              <w:t>处方管理</w:t>
            </w:r>
          </w:p>
        </w:tc>
        <w:tc>
          <w:tcPr>
            <w:tcW w:w="6287" w:type="dxa"/>
            <w:vAlign w:val="top"/>
          </w:tcPr>
          <w:p w14:paraId="2332D0E1">
            <w:pPr>
              <w:pStyle w:val="7"/>
              <w:spacing w:before="53" w:line="231" w:lineRule="auto"/>
              <w:ind w:left="32" w:right="23"/>
              <w:rPr>
                <w:color w:val="000000" w:themeColor="text1"/>
                <w14:textFill>
                  <w14:solidFill>
                    <w14:schemeClr w14:val="tx1"/>
                  </w14:solidFill>
                </w14:textFill>
              </w:rPr>
            </w:pPr>
            <w:r>
              <w:rPr>
                <w:color w:val="000000" w:themeColor="text1"/>
                <w14:textFill>
                  <w14:solidFill>
                    <w14:schemeClr w14:val="tx1"/>
                  </w14:solidFill>
                </w14:textFill>
              </w:rPr>
              <w:t>医生可在线管理自己开具的线上处方，支持处方模</w:t>
            </w:r>
            <w:r>
              <w:rPr>
                <w:color w:val="000000" w:themeColor="text1"/>
                <w:spacing w:val="-1"/>
                <w14:textFill>
                  <w14:solidFill>
                    <w14:schemeClr w14:val="tx1"/>
                  </w14:solidFill>
                </w14:textFill>
              </w:rPr>
              <w:t>板管理、药品目录查询、处方跟踪、处方签名管理</w:t>
            </w:r>
          </w:p>
        </w:tc>
      </w:tr>
      <w:tr w14:paraId="5CFF6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756" w:type="dxa"/>
            <w:vAlign w:val="top"/>
          </w:tcPr>
          <w:p w14:paraId="5A936B0B">
            <w:pPr>
              <w:pStyle w:val="7"/>
              <w:spacing w:before="94"/>
              <w:ind w:left="145"/>
            </w:pPr>
            <w:r>
              <w:t>8</w:t>
            </w:r>
          </w:p>
        </w:tc>
        <w:tc>
          <w:tcPr>
            <w:tcW w:w="1538" w:type="dxa"/>
            <w:vAlign w:val="top"/>
          </w:tcPr>
          <w:p w14:paraId="75287505">
            <w:pPr>
              <w:pStyle w:val="7"/>
              <w:spacing w:before="53" w:line="219" w:lineRule="auto"/>
              <w:ind w:left="130"/>
              <w:rPr>
                <w:color w:val="000000" w:themeColor="text1"/>
                <w14:textFill>
                  <w14:solidFill>
                    <w14:schemeClr w14:val="tx1"/>
                  </w14:solidFill>
                </w14:textFill>
              </w:rPr>
            </w:pPr>
            <w:r>
              <w:rPr>
                <w:color w:val="000000" w:themeColor="text1"/>
                <w:spacing w:val="1"/>
                <w14:textFill>
                  <w14:solidFill>
                    <w14:schemeClr w14:val="tx1"/>
                  </w14:solidFill>
                </w14:textFill>
              </w:rPr>
              <w:t>患者病历查看</w:t>
            </w:r>
          </w:p>
        </w:tc>
        <w:tc>
          <w:tcPr>
            <w:tcW w:w="6287" w:type="dxa"/>
            <w:vAlign w:val="top"/>
          </w:tcPr>
          <w:p w14:paraId="4DC4AF58">
            <w:pPr>
              <w:pStyle w:val="7"/>
              <w:spacing w:before="53"/>
              <w:ind w:left="131" w:right="15" w:hanging="99"/>
              <w:rPr>
                <w:color w:val="000000" w:themeColor="text1"/>
                <w14:textFill>
                  <w14:solidFill>
                    <w14:schemeClr w14:val="tx1"/>
                  </w14:solidFill>
                </w14:textFill>
              </w:rPr>
            </w:pPr>
            <w:r>
              <w:rPr>
                <w:color w:val="000000" w:themeColor="text1"/>
                <w14:textFill>
                  <w14:solidFill>
                    <w14:schemeClr w14:val="tx1"/>
                  </w14:solidFill>
                </w14:textFill>
              </w:rPr>
              <w:t>医生可在线查看患者电子病历，方便医生全方位的</w:t>
            </w:r>
            <w:r>
              <w:rPr>
                <w:color w:val="000000" w:themeColor="text1"/>
                <w:spacing w:val="1"/>
                <w14:textFill>
                  <w14:solidFill>
                    <w14:schemeClr w14:val="tx1"/>
                  </w14:solidFill>
                </w14:textFill>
              </w:rPr>
              <w:t>了解患者病史</w:t>
            </w:r>
          </w:p>
        </w:tc>
      </w:tr>
      <w:tr w14:paraId="64640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756" w:type="dxa"/>
            <w:vAlign w:val="top"/>
          </w:tcPr>
          <w:p w14:paraId="3AE69049">
            <w:pPr>
              <w:pStyle w:val="7"/>
              <w:spacing w:before="75"/>
              <w:ind w:left="145"/>
            </w:pPr>
            <w:r>
              <w:t>9</w:t>
            </w:r>
          </w:p>
        </w:tc>
        <w:tc>
          <w:tcPr>
            <w:tcW w:w="1538" w:type="dxa"/>
            <w:vAlign w:val="top"/>
          </w:tcPr>
          <w:p w14:paraId="6C24EE6B">
            <w:pPr>
              <w:pStyle w:val="7"/>
              <w:spacing w:before="55" w:line="220" w:lineRule="auto"/>
              <w:ind w:left="130"/>
              <w:rPr>
                <w:color w:val="000000" w:themeColor="text1"/>
                <w14:textFill>
                  <w14:solidFill>
                    <w14:schemeClr w14:val="tx1"/>
                  </w14:solidFill>
                </w14:textFill>
              </w:rPr>
            </w:pPr>
            <w:r>
              <w:rPr>
                <w:color w:val="000000" w:themeColor="text1"/>
                <w:spacing w:val="1"/>
                <w14:textFill>
                  <w14:solidFill>
                    <w14:schemeClr w14:val="tx1"/>
                  </w14:solidFill>
                </w14:textFill>
              </w:rPr>
              <w:t>问诊订单处理</w:t>
            </w:r>
          </w:p>
        </w:tc>
        <w:tc>
          <w:tcPr>
            <w:tcW w:w="6287" w:type="dxa"/>
            <w:vAlign w:val="top"/>
          </w:tcPr>
          <w:p w14:paraId="082FA924">
            <w:pPr>
              <w:pStyle w:val="7"/>
              <w:spacing w:before="34" w:line="235" w:lineRule="auto"/>
              <w:ind w:left="129" w:hanging="117"/>
              <w:rPr>
                <w:color w:val="000000" w:themeColor="text1"/>
                <w14:textFill>
                  <w14:solidFill>
                    <w14:schemeClr w14:val="tx1"/>
                  </w14:solidFill>
                </w14:textFill>
              </w:rPr>
            </w:pPr>
            <w:r>
              <w:rPr>
                <w:color w:val="000000" w:themeColor="text1"/>
                <w:spacing w:val="-7"/>
                <w14:textFill>
                  <w14:solidFill>
                    <w14:schemeClr w14:val="tx1"/>
                  </w14:solidFill>
                </w14:textFill>
              </w:rPr>
              <w:t>医生可在线接收患者问诊订单，并与患者进行视频、</w:t>
            </w:r>
            <w:r>
              <w:rPr>
                <w:color w:val="000000" w:themeColor="text1"/>
                <w:spacing w:val="-4"/>
                <w14:textFill>
                  <w14:solidFill>
                    <w14:schemeClr w14:val="tx1"/>
                  </w14:solidFill>
                </w14:textFill>
              </w:rPr>
              <w:t>电话、图文、语音消息等方式沟通</w:t>
            </w:r>
          </w:p>
        </w:tc>
      </w:tr>
      <w:tr w14:paraId="6A8E4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6" w:type="dxa"/>
            <w:vAlign w:val="top"/>
          </w:tcPr>
          <w:p w14:paraId="54F4C0DB">
            <w:pPr>
              <w:pStyle w:val="7"/>
              <w:spacing w:before="106"/>
              <w:ind w:left="94"/>
            </w:pPr>
            <w:r>
              <w:rPr>
                <w:spacing w:val="-6"/>
              </w:rPr>
              <w:t>10</w:t>
            </w:r>
          </w:p>
        </w:tc>
        <w:tc>
          <w:tcPr>
            <w:tcW w:w="1538" w:type="dxa"/>
            <w:vAlign w:val="top"/>
          </w:tcPr>
          <w:p w14:paraId="13B9CC0F">
            <w:pPr>
              <w:pStyle w:val="7"/>
              <w:spacing w:before="66" w:line="221" w:lineRule="auto"/>
              <w:ind w:left="229"/>
              <w:rPr>
                <w:color w:val="000000" w:themeColor="text1"/>
                <w14:textFill>
                  <w14:solidFill>
                    <w14:schemeClr w14:val="tx1"/>
                  </w14:solidFill>
                </w14:textFill>
              </w:rPr>
            </w:pPr>
            <w:r>
              <w:rPr>
                <w:color w:val="000000" w:themeColor="text1"/>
                <w14:textFill>
                  <w14:solidFill>
                    <w14:schemeClr w14:val="tx1"/>
                  </w14:solidFill>
                </w14:textFill>
              </w:rPr>
              <w:t>CA</w:t>
            </w:r>
            <w:r>
              <w:rPr>
                <w:color w:val="000000" w:themeColor="text1"/>
                <w:spacing w:val="6"/>
                <w14:textFill>
                  <w14:solidFill>
                    <w14:schemeClr w14:val="tx1"/>
                  </w14:solidFill>
                </w14:textFill>
              </w:rPr>
              <w:t>认证签名</w:t>
            </w:r>
          </w:p>
        </w:tc>
        <w:tc>
          <w:tcPr>
            <w:tcW w:w="6287" w:type="dxa"/>
            <w:vAlign w:val="top"/>
          </w:tcPr>
          <w:p w14:paraId="2D5DA6DC">
            <w:pPr>
              <w:pStyle w:val="7"/>
              <w:spacing w:before="65" w:line="219" w:lineRule="auto"/>
              <w:ind w:left="122"/>
              <w:rPr>
                <w:color w:val="000000" w:themeColor="text1"/>
                <w14:textFill>
                  <w14:solidFill>
                    <w14:schemeClr w14:val="tx1"/>
                  </w14:solidFill>
                </w14:textFill>
              </w:rPr>
            </w:pPr>
            <w:r>
              <w:rPr>
                <w:color w:val="000000" w:themeColor="text1"/>
                <w14:textFill>
                  <w14:solidFill>
                    <w14:schemeClr w14:val="tx1"/>
                  </w14:solidFill>
                </w14:textFill>
              </w:rPr>
              <w:t>电子签名支持对接院内CA认证系统</w:t>
            </w:r>
          </w:p>
        </w:tc>
      </w:tr>
      <w:tr w14:paraId="66875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trPr>
        <w:tc>
          <w:tcPr>
            <w:tcW w:w="756" w:type="dxa"/>
            <w:vAlign w:val="top"/>
          </w:tcPr>
          <w:p w14:paraId="1BBBC32A">
            <w:pPr>
              <w:pStyle w:val="7"/>
              <w:spacing w:before="96" w:line="241" w:lineRule="auto"/>
              <w:ind w:left="94"/>
            </w:pPr>
            <w:r>
              <w:rPr>
                <w:spacing w:val="-6"/>
              </w:rPr>
              <w:t>11</w:t>
            </w:r>
          </w:p>
        </w:tc>
        <w:tc>
          <w:tcPr>
            <w:tcW w:w="1538" w:type="dxa"/>
            <w:vAlign w:val="top"/>
          </w:tcPr>
          <w:p w14:paraId="21FFFE4E">
            <w:pPr>
              <w:pStyle w:val="7"/>
              <w:spacing w:before="55" w:line="219" w:lineRule="auto"/>
              <w:ind w:left="70"/>
              <w:rPr>
                <w:color w:val="000000" w:themeColor="text1"/>
                <w14:textFill>
                  <w14:solidFill>
                    <w14:schemeClr w14:val="tx1"/>
                  </w14:solidFill>
                </w14:textFill>
              </w:rPr>
            </w:pPr>
            <w:r>
              <w:rPr>
                <w:color w:val="000000" w:themeColor="text1"/>
                <w:spacing w:val="1"/>
                <w14:textFill>
                  <w14:solidFill>
                    <w14:schemeClr w14:val="tx1"/>
                  </w14:solidFill>
                </w14:textFill>
              </w:rPr>
              <w:t>▲在线检查/检</w:t>
            </w:r>
            <w:r>
              <w:rPr>
                <w:color w:val="000000" w:themeColor="text1"/>
                <w:spacing w:val="-2"/>
                <w14:textFill>
                  <w14:solidFill>
                    <w14:schemeClr w14:val="tx1"/>
                  </w14:solidFill>
                </w14:textFill>
              </w:rPr>
              <w:t>验单开具</w:t>
            </w:r>
          </w:p>
        </w:tc>
        <w:tc>
          <w:tcPr>
            <w:tcW w:w="6287" w:type="dxa"/>
            <w:vAlign w:val="top"/>
          </w:tcPr>
          <w:p w14:paraId="6F0659DE">
            <w:pPr>
              <w:pStyle w:val="7"/>
              <w:spacing w:before="56" w:line="249" w:lineRule="auto"/>
              <w:ind w:left="32"/>
              <w:jc w:val="both"/>
              <w:rPr>
                <w:color w:val="000000" w:themeColor="text1"/>
                <w14:textFill>
                  <w14:solidFill>
                    <w14:schemeClr w14:val="tx1"/>
                  </w14:solidFill>
                </w14:textFill>
              </w:rPr>
            </w:pPr>
            <w:r>
              <w:rPr>
                <w:color w:val="000000" w:themeColor="text1"/>
                <w:spacing w:val="-1"/>
                <w14:textFill>
                  <w14:solidFill>
                    <w14:schemeClr w14:val="tx1"/>
                  </w14:solidFill>
                </w14:textFill>
              </w:rPr>
              <w:t>医生可为患者在线开具检查申请单，检验单，患者</w:t>
            </w:r>
            <w:r>
              <w:rPr>
                <w:color w:val="000000" w:themeColor="text1"/>
                <w:spacing w:val="1"/>
                <w14:textFill>
                  <w14:solidFill>
                    <w14:schemeClr w14:val="tx1"/>
                  </w14:solidFill>
                </w14:textFill>
              </w:rPr>
              <w:t>在线缴费后可到医院直接登记或线上登记做检验，</w:t>
            </w:r>
            <w:r>
              <w:rPr>
                <w:color w:val="000000" w:themeColor="text1"/>
                <w14:textFill>
                  <w14:solidFill>
                    <w14:schemeClr w14:val="tx1"/>
                  </w14:solidFill>
                </w14:textFill>
              </w:rPr>
              <w:t>提升医院医技科室资源线上利用率，优化患者</w:t>
            </w:r>
            <w:r>
              <w:rPr>
                <w:color w:val="000000" w:themeColor="text1"/>
                <w:spacing w:val="-1"/>
                <w14:textFill>
                  <w14:solidFill>
                    <w14:schemeClr w14:val="tx1"/>
                  </w14:solidFill>
                </w14:textFill>
              </w:rPr>
              <w:t>就医</w:t>
            </w:r>
            <w:r>
              <w:rPr>
                <w:color w:val="000000" w:themeColor="text1"/>
                <w:spacing w:val="4"/>
                <w14:textFill>
                  <w14:solidFill>
                    <w14:schemeClr w14:val="tx1"/>
                  </w14:solidFill>
                </w14:textFill>
              </w:rPr>
              <w:t>流程，提升患者就医体验。</w:t>
            </w:r>
          </w:p>
        </w:tc>
      </w:tr>
      <w:tr w14:paraId="482B8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56" w:type="dxa"/>
            <w:vAlign w:val="top"/>
          </w:tcPr>
          <w:p w14:paraId="499DE0CB">
            <w:pPr>
              <w:pStyle w:val="7"/>
              <w:spacing w:before="97" w:line="241" w:lineRule="auto"/>
              <w:ind w:left="94"/>
            </w:pPr>
            <w:r>
              <w:rPr>
                <w:spacing w:val="-6"/>
              </w:rPr>
              <w:t>12</w:t>
            </w:r>
          </w:p>
        </w:tc>
        <w:tc>
          <w:tcPr>
            <w:tcW w:w="1538" w:type="dxa"/>
            <w:vAlign w:val="top"/>
          </w:tcPr>
          <w:p w14:paraId="07DEB2AF">
            <w:pPr>
              <w:pStyle w:val="7"/>
              <w:spacing w:before="46" w:line="234" w:lineRule="auto"/>
              <w:ind w:left="340" w:right="79" w:hanging="270"/>
              <w:rPr>
                <w:color w:val="000000" w:themeColor="text1"/>
                <w14:textFill>
                  <w14:solidFill>
                    <w14:schemeClr w14:val="tx1"/>
                  </w14:solidFill>
                </w14:textFill>
              </w:rPr>
            </w:pPr>
            <w:r>
              <w:rPr>
                <w:color w:val="000000" w:themeColor="text1"/>
                <w:spacing w:val="1"/>
                <w14:textFill>
                  <w14:solidFill>
                    <w14:schemeClr w14:val="tx1"/>
                  </w14:solidFill>
                </w14:textFill>
              </w:rPr>
              <w:t>查询历史检查/</w:t>
            </w:r>
            <w:r>
              <w:rPr>
                <w:color w:val="000000" w:themeColor="text1"/>
                <w:spacing w:val="3"/>
                <w14:textFill>
                  <w14:solidFill>
                    <w14:schemeClr w14:val="tx1"/>
                  </w14:solidFill>
                </w14:textFill>
              </w:rPr>
              <w:t>检验报告</w:t>
            </w:r>
          </w:p>
        </w:tc>
        <w:tc>
          <w:tcPr>
            <w:tcW w:w="6287" w:type="dxa"/>
            <w:vAlign w:val="top"/>
          </w:tcPr>
          <w:p w14:paraId="124D34AF">
            <w:pPr>
              <w:pStyle w:val="7"/>
              <w:spacing w:before="44" w:line="235" w:lineRule="auto"/>
              <w:ind w:left="101" w:hanging="89"/>
              <w:rPr>
                <w:color w:val="000000" w:themeColor="text1"/>
                <w14:textFill>
                  <w14:solidFill>
                    <w14:schemeClr w14:val="tx1"/>
                  </w14:solidFill>
                </w14:textFill>
              </w:rPr>
            </w:pPr>
            <w:r>
              <w:rPr>
                <w:color w:val="000000" w:themeColor="text1"/>
                <w:spacing w:val="-3"/>
                <w14:textFill>
                  <w14:solidFill>
                    <w14:schemeClr w14:val="tx1"/>
                  </w14:solidFill>
                </w14:textFill>
              </w:rPr>
              <w:t>支持医生在线查看患者本院历史检查/检验报告，方</w:t>
            </w:r>
            <w:r>
              <w:rPr>
                <w:color w:val="000000" w:themeColor="text1"/>
                <w:spacing w:val="-1"/>
                <w14:textFill>
                  <w14:solidFill>
                    <w14:schemeClr w14:val="tx1"/>
                  </w14:solidFill>
                </w14:textFill>
              </w:rPr>
              <w:t>便医生全方位的了解患者病史。</w:t>
            </w:r>
          </w:p>
        </w:tc>
      </w:tr>
      <w:tr w14:paraId="053E5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vAlign w:val="top"/>
          </w:tcPr>
          <w:p w14:paraId="15872935">
            <w:pPr>
              <w:pStyle w:val="7"/>
              <w:spacing w:before="88"/>
              <w:ind w:left="94"/>
              <w:rPr>
                <w:color w:val="0000FF"/>
              </w:rPr>
            </w:pPr>
            <w:r>
              <w:rPr>
                <w:color w:val="0000FF"/>
                <w:spacing w:val="-6"/>
              </w:rPr>
              <w:t>13</w:t>
            </w:r>
          </w:p>
        </w:tc>
        <w:tc>
          <w:tcPr>
            <w:tcW w:w="1538" w:type="dxa"/>
            <w:vAlign w:val="top"/>
          </w:tcPr>
          <w:p w14:paraId="6E3CA920">
            <w:pPr>
              <w:pStyle w:val="7"/>
              <w:spacing w:before="58" w:line="220" w:lineRule="auto"/>
              <w:ind w:left="229"/>
              <w:rPr>
                <w:color w:val="0000FF"/>
              </w:rPr>
            </w:pPr>
            <w:r>
              <w:rPr>
                <w:color w:val="0000FF"/>
                <w:spacing w:val="2"/>
              </w:rPr>
              <w:t>智能预问诊</w:t>
            </w:r>
          </w:p>
        </w:tc>
        <w:tc>
          <w:tcPr>
            <w:tcW w:w="6287" w:type="dxa"/>
            <w:vAlign w:val="top"/>
          </w:tcPr>
          <w:p w14:paraId="78D3BEF6">
            <w:pPr>
              <w:pStyle w:val="7"/>
              <w:spacing w:before="68" w:line="242" w:lineRule="auto"/>
              <w:ind w:left="32" w:right="19"/>
              <w:jc w:val="both"/>
              <w:rPr>
                <w:color w:val="0000FF"/>
              </w:rPr>
            </w:pPr>
            <w:r>
              <w:rPr>
                <w:color w:val="0000FF"/>
                <w:spacing w:val="-1"/>
              </w:rPr>
              <w:t>用户就诊前，进入AI预诊阶段，智能采集用户病情信息，包括主诉、现病史、既往史、过敏史、家族</w:t>
            </w:r>
            <w:r>
              <w:rPr>
                <w:color w:val="0000FF"/>
              </w:rPr>
              <w:t>史等，生成预诊结果给到医生，节省医生写病历时</w:t>
            </w:r>
            <w:r>
              <w:rPr>
                <w:color w:val="0000FF"/>
                <w:spacing w:val="-1"/>
              </w:rPr>
              <w:t>间，提升医疗效率。</w:t>
            </w:r>
          </w:p>
        </w:tc>
      </w:tr>
      <w:tr w14:paraId="0600D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02F6257">
            <w:pPr>
              <w:pStyle w:val="7"/>
              <w:spacing w:before="97" w:line="241" w:lineRule="auto"/>
              <w:ind w:left="14" w:leftChars="0"/>
              <w:rPr>
                <w:rFonts w:ascii="宋体" w:hAnsi="宋体" w:eastAsia="宋体" w:cs="宋体"/>
                <w:kern w:val="2"/>
                <w:sz w:val="34"/>
                <w:szCs w:val="34"/>
                <w:lang w:val="en-US" w:eastAsia="en-US" w:bidi="ar-SA"/>
              </w:rPr>
            </w:pPr>
            <w:r>
              <w:rPr>
                <w:b w:val="0"/>
                <w:bCs w:val="0"/>
                <w:spacing w:val="-10"/>
                <w:sz w:val="21"/>
                <w:szCs w:val="21"/>
              </w:rPr>
              <w:t>14</w:t>
            </w:r>
          </w:p>
        </w:tc>
        <w:tc>
          <w:tcPr>
            <w:tcW w:w="1538" w:type="dxa"/>
            <w:shd w:val="clear" w:color="auto" w:fill="auto"/>
            <w:vAlign w:val="top"/>
          </w:tcPr>
          <w:p w14:paraId="64CE9FB8">
            <w:pPr>
              <w:pStyle w:val="7"/>
              <w:spacing w:before="49" w:line="220" w:lineRule="auto"/>
              <w:rPr>
                <w:rFonts w:ascii="宋体" w:hAnsi="宋体" w:eastAsia="宋体" w:cs="宋体"/>
                <w:kern w:val="2"/>
                <w:sz w:val="21"/>
                <w:szCs w:val="21"/>
                <w:lang w:val="en-US" w:eastAsia="en-US" w:bidi="ar-SA"/>
              </w:rPr>
            </w:pPr>
            <w:r>
              <w:rPr>
                <w:spacing w:val="2"/>
              </w:rPr>
              <w:t>▲在线转诊</w:t>
            </w:r>
          </w:p>
        </w:tc>
        <w:tc>
          <w:tcPr>
            <w:tcW w:w="6287" w:type="dxa"/>
            <w:shd w:val="clear" w:color="auto" w:fill="auto"/>
            <w:vAlign w:val="top"/>
          </w:tcPr>
          <w:p w14:paraId="1D1FAD3C">
            <w:pPr>
              <w:pStyle w:val="7"/>
              <w:spacing w:before="59" w:line="237" w:lineRule="auto"/>
              <w:ind w:left="101" w:leftChars="0" w:right="49" w:rightChars="0" w:hanging="59" w:firstLineChars="0"/>
              <w:rPr>
                <w:rFonts w:ascii="宋体" w:hAnsi="宋体" w:eastAsia="宋体" w:cs="宋体"/>
                <w:kern w:val="2"/>
                <w:sz w:val="21"/>
                <w:szCs w:val="21"/>
                <w:lang w:val="en-US" w:eastAsia="en-US" w:bidi="ar-SA"/>
              </w:rPr>
            </w:pPr>
            <w:r>
              <w:rPr>
                <w:spacing w:val="-1"/>
              </w:rPr>
              <w:t>视患者病情，对于不对症的患者医生可转诊给线上或线下其他</w:t>
            </w:r>
            <w:r>
              <w:rPr>
                <w:rFonts w:hint="eastAsia"/>
                <w:spacing w:val="-1"/>
                <w:lang w:val="en-US" w:eastAsia="zh-CN"/>
              </w:rPr>
              <w:t>院区、科室的医生</w:t>
            </w:r>
            <w:r>
              <w:rPr>
                <w:spacing w:val="-1"/>
              </w:rPr>
              <w:t>，并推荐给患者。</w:t>
            </w:r>
          </w:p>
        </w:tc>
      </w:tr>
      <w:tr w14:paraId="76632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605EE555">
            <w:pPr>
              <w:pStyle w:val="7"/>
              <w:spacing w:before="90"/>
              <w:ind w:left="85" w:leftChars="0"/>
              <w:rPr>
                <w:rFonts w:ascii="宋体" w:hAnsi="宋体" w:eastAsia="宋体" w:cs="宋体"/>
                <w:kern w:val="2"/>
                <w:sz w:val="21"/>
                <w:szCs w:val="21"/>
                <w:lang w:val="en-US" w:eastAsia="en-US" w:bidi="ar-SA"/>
              </w:rPr>
            </w:pPr>
            <w:r>
              <w:rPr>
                <w:spacing w:val="-6"/>
              </w:rPr>
              <w:t>15</w:t>
            </w:r>
          </w:p>
        </w:tc>
        <w:tc>
          <w:tcPr>
            <w:tcW w:w="1538" w:type="dxa"/>
            <w:shd w:val="clear" w:color="auto" w:fill="auto"/>
            <w:vAlign w:val="top"/>
          </w:tcPr>
          <w:p w14:paraId="741924A2">
            <w:pPr>
              <w:pStyle w:val="7"/>
              <w:spacing w:before="40" w:line="220" w:lineRule="auto"/>
              <w:ind w:left="340" w:leftChars="0"/>
              <w:rPr>
                <w:rFonts w:ascii="宋体" w:hAnsi="宋体" w:eastAsia="宋体" w:cs="宋体"/>
                <w:kern w:val="2"/>
                <w:sz w:val="21"/>
                <w:szCs w:val="21"/>
                <w:lang w:val="en-US" w:eastAsia="en-US" w:bidi="ar-SA"/>
              </w:rPr>
            </w:pPr>
            <w:r>
              <w:rPr>
                <w:spacing w:val="3"/>
              </w:rPr>
              <w:t>工作日历</w:t>
            </w:r>
          </w:p>
        </w:tc>
        <w:tc>
          <w:tcPr>
            <w:tcW w:w="6287" w:type="dxa"/>
            <w:shd w:val="clear" w:color="auto" w:fill="auto"/>
            <w:vAlign w:val="top"/>
          </w:tcPr>
          <w:p w14:paraId="74803005">
            <w:pPr>
              <w:pStyle w:val="7"/>
              <w:spacing w:before="59" w:line="257" w:lineRule="auto"/>
              <w:ind w:left="101" w:leftChars="0" w:hanging="59" w:firstLineChars="0"/>
              <w:rPr>
                <w:rFonts w:ascii="宋体" w:hAnsi="宋体" w:eastAsia="宋体" w:cs="宋体"/>
                <w:kern w:val="2"/>
                <w:sz w:val="21"/>
                <w:szCs w:val="21"/>
                <w:lang w:val="en-US" w:eastAsia="en-US" w:bidi="ar-SA"/>
              </w:rPr>
            </w:pPr>
            <w:r>
              <w:rPr>
                <w:spacing w:val="1"/>
              </w:rPr>
              <w:t>增加了医生日历，医生可以查看自己的门诊预约、</w:t>
            </w:r>
            <w:r>
              <w:rPr>
                <w:spacing w:val="5"/>
              </w:rPr>
              <w:t>手术预约还有随访任务情况；</w:t>
            </w:r>
            <w:r>
              <w:rPr>
                <w:spacing w:val="-1"/>
              </w:rPr>
              <w:t>支持新增个人备忘，支持设置提醒</w:t>
            </w:r>
          </w:p>
        </w:tc>
      </w:tr>
      <w:tr w14:paraId="3E698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8581" w:type="dxa"/>
            <w:gridSpan w:val="3"/>
            <w:shd w:val="clear" w:color="auto" w:fill="auto"/>
            <w:vAlign w:val="center"/>
          </w:tcPr>
          <w:p w14:paraId="70878CC0">
            <w:pPr>
              <w:pStyle w:val="7"/>
              <w:spacing w:before="56" w:line="275" w:lineRule="auto"/>
              <w:ind w:left="270" w:right="63" w:hanging="209"/>
              <w:jc w:val="center"/>
              <w:rPr>
                <w:color w:val="0000FF"/>
              </w:rPr>
            </w:pPr>
            <w:r>
              <w:rPr>
                <w:spacing w:val="-1"/>
              </w:rPr>
              <w:t>慢病健康管理服务</w:t>
            </w:r>
          </w:p>
        </w:tc>
      </w:tr>
      <w:tr w14:paraId="60BC5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0055238D">
            <w:pPr>
              <w:pStyle w:val="7"/>
              <w:spacing w:before="91"/>
              <w:ind w:left="85" w:leftChars="0"/>
              <w:rPr>
                <w:rFonts w:ascii="宋体" w:hAnsi="宋体" w:eastAsia="宋体" w:cs="宋体"/>
                <w:kern w:val="2"/>
                <w:sz w:val="21"/>
                <w:szCs w:val="21"/>
                <w:lang w:val="en-US" w:eastAsia="en-US" w:bidi="ar-SA"/>
              </w:rPr>
            </w:pPr>
            <w:r>
              <w:rPr>
                <w:spacing w:val="-6"/>
              </w:rPr>
              <w:t>16</w:t>
            </w:r>
          </w:p>
        </w:tc>
        <w:tc>
          <w:tcPr>
            <w:tcW w:w="1538" w:type="dxa"/>
            <w:shd w:val="clear" w:color="auto" w:fill="auto"/>
            <w:vAlign w:val="top"/>
          </w:tcPr>
          <w:p w14:paraId="76E35236">
            <w:pPr>
              <w:pStyle w:val="7"/>
              <w:spacing w:before="50" w:line="257" w:lineRule="auto"/>
              <w:ind w:left="240" w:leftChars="0" w:right="157" w:rightChars="0" w:hanging="110" w:firstLineChars="0"/>
              <w:rPr>
                <w:rFonts w:ascii="宋体" w:hAnsi="宋体" w:eastAsia="宋体" w:cs="宋体"/>
                <w:kern w:val="2"/>
                <w:sz w:val="21"/>
                <w:szCs w:val="21"/>
                <w:lang w:val="en-US" w:eastAsia="en-US" w:bidi="ar-SA"/>
              </w:rPr>
            </w:pPr>
            <w:r>
              <w:rPr>
                <w:spacing w:val="-2"/>
              </w:rPr>
              <w:t>整合腹透智能</w:t>
            </w:r>
            <w:r>
              <w:rPr>
                <w:spacing w:val="4"/>
              </w:rPr>
              <w:t>化服务平台</w:t>
            </w:r>
          </w:p>
        </w:tc>
        <w:tc>
          <w:tcPr>
            <w:tcW w:w="6287" w:type="dxa"/>
            <w:shd w:val="clear" w:color="auto" w:fill="auto"/>
            <w:vAlign w:val="top"/>
          </w:tcPr>
          <w:p w14:paraId="5513C348">
            <w:pPr>
              <w:pStyle w:val="7"/>
              <w:spacing w:before="38" w:line="255" w:lineRule="auto"/>
              <w:ind w:left="42" w:leftChars="0"/>
              <w:jc w:val="both"/>
              <w:rPr>
                <w:rFonts w:ascii="宋体" w:hAnsi="宋体" w:eastAsia="宋体" w:cs="宋体"/>
                <w:kern w:val="2"/>
                <w:sz w:val="21"/>
                <w:szCs w:val="21"/>
                <w:lang w:val="en-US" w:eastAsia="en-US" w:bidi="ar-SA"/>
              </w:rPr>
            </w:pPr>
            <w:r>
              <w:rPr>
                <w:spacing w:val="-5"/>
              </w:rPr>
              <w:t>构建互联网诊疗平台统一服务入口，融合接入</w:t>
            </w:r>
            <w:r>
              <w:rPr>
                <w:spacing w:val="-6"/>
              </w:rPr>
              <w:t>腹透</w:t>
            </w:r>
            <w:r>
              <w:rPr>
                <w:spacing w:val="-4"/>
              </w:rPr>
              <w:t>全病程医疗管理服务，平台提供上级医院及其下属二级医院、社区卫生服务中心的双向反馈功</w:t>
            </w:r>
            <w:r>
              <w:rPr>
                <w:spacing w:val="-5"/>
              </w:rPr>
              <w:t>能，为</w:t>
            </w:r>
            <w:r>
              <w:rPr>
                <w:spacing w:val="-4"/>
              </w:rPr>
              <w:t>患者提高医疗质量，为医护团队提高医疗效率</w:t>
            </w:r>
            <w:r>
              <w:rPr>
                <w:spacing w:val="-5"/>
              </w:rPr>
              <w:t>；支</w:t>
            </w:r>
            <w:r>
              <w:rPr>
                <w:spacing w:val="-8"/>
              </w:rPr>
              <w:t>持国家数据平台智能化上报，便于科室管理及研究、</w:t>
            </w:r>
            <w:r>
              <w:rPr>
                <w:spacing w:val="12"/>
              </w:rPr>
              <w:t>专科联盟使用</w:t>
            </w:r>
          </w:p>
        </w:tc>
      </w:tr>
      <w:tr w14:paraId="66F69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75E5163A">
            <w:pPr>
              <w:pStyle w:val="7"/>
              <w:spacing w:before="92"/>
              <w:ind w:left="85" w:leftChars="0"/>
              <w:rPr>
                <w:rFonts w:ascii="宋体" w:hAnsi="宋体" w:eastAsia="宋体" w:cs="宋体"/>
                <w:kern w:val="2"/>
                <w:sz w:val="21"/>
                <w:szCs w:val="21"/>
                <w:lang w:val="en-US" w:eastAsia="en-US" w:bidi="ar-SA"/>
              </w:rPr>
            </w:pPr>
            <w:r>
              <w:rPr>
                <w:spacing w:val="-6"/>
              </w:rPr>
              <w:t>17</w:t>
            </w:r>
          </w:p>
        </w:tc>
        <w:tc>
          <w:tcPr>
            <w:tcW w:w="1538" w:type="dxa"/>
            <w:shd w:val="clear" w:color="auto" w:fill="auto"/>
            <w:vAlign w:val="top"/>
          </w:tcPr>
          <w:p w14:paraId="66118636">
            <w:pPr>
              <w:pStyle w:val="7"/>
              <w:spacing w:before="52" w:line="260" w:lineRule="auto"/>
              <w:ind w:left="340" w:leftChars="0" w:right="139" w:rightChars="0" w:hanging="210" w:firstLineChars="0"/>
              <w:rPr>
                <w:rFonts w:ascii="宋体" w:hAnsi="宋体" w:eastAsia="宋体" w:cs="宋体"/>
                <w:kern w:val="2"/>
                <w:sz w:val="21"/>
                <w:szCs w:val="21"/>
                <w:lang w:val="en-US" w:eastAsia="en-US" w:bidi="ar-SA"/>
              </w:rPr>
            </w:pPr>
            <w:r>
              <w:rPr>
                <w:spacing w:val="1"/>
              </w:rPr>
              <w:t>▲整合动态高</w:t>
            </w:r>
            <w:r>
              <w:rPr>
                <w:spacing w:val="5"/>
              </w:rPr>
              <w:t>血压平台</w:t>
            </w:r>
          </w:p>
        </w:tc>
        <w:tc>
          <w:tcPr>
            <w:tcW w:w="6287" w:type="dxa"/>
            <w:shd w:val="clear" w:color="auto" w:fill="auto"/>
            <w:vAlign w:val="top"/>
          </w:tcPr>
          <w:p w14:paraId="201B2D5B">
            <w:pPr>
              <w:pStyle w:val="7"/>
              <w:spacing w:before="58" w:line="256" w:lineRule="auto"/>
              <w:ind w:left="42" w:leftChars="0"/>
              <w:jc w:val="both"/>
              <w:rPr>
                <w:rFonts w:ascii="宋体" w:hAnsi="宋体" w:eastAsia="宋体" w:cs="宋体"/>
                <w:kern w:val="2"/>
                <w:sz w:val="21"/>
                <w:szCs w:val="21"/>
                <w:lang w:val="en-US" w:eastAsia="en-US" w:bidi="ar-SA"/>
              </w:rPr>
            </w:pPr>
            <w:r>
              <w:rPr>
                <w:spacing w:val="-4"/>
              </w:rPr>
              <w:t>构建互联网诊疗平台统一服务入口，融合接入高血压慢病管理平台与血压动态监测设备的物联网，实现监测设备数据与平台实时传输、远程监测动态血</w:t>
            </w:r>
            <w:r>
              <w:rPr>
                <w:spacing w:val="-2"/>
              </w:rPr>
              <w:t>压数据的目的，在上级医院、社区卫生服务中</w:t>
            </w:r>
            <w:r>
              <w:rPr>
                <w:spacing w:val="-3"/>
              </w:rPr>
              <w:t>心与</w:t>
            </w:r>
            <w:r>
              <w:rPr>
                <w:spacing w:val="1"/>
              </w:rPr>
              <w:t>患者间实现数据的传输。全生命周期高血压监控、</w:t>
            </w:r>
            <w:r>
              <w:rPr>
                <w:spacing w:val="-2"/>
              </w:rPr>
              <w:t>治疗、随访平台，构筑具备广度、深度、精准的区</w:t>
            </w:r>
            <w:r>
              <w:rPr>
                <w:spacing w:val="-3"/>
              </w:rPr>
              <w:t>域高血压管理数据中心，支持上级医院及其下属二</w:t>
            </w:r>
            <w:r>
              <w:t>级医院、社区卫生服务中心的数据互通。</w:t>
            </w:r>
          </w:p>
        </w:tc>
      </w:tr>
      <w:tr w14:paraId="0E9E5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657F5244">
            <w:pPr>
              <w:pStyle w:val="7"/>
              <w:spacing w:before="94"/>
              <w:ind w:left="85" w:leftChars="0"/>
              <w:rPr>
                <w:rFonts w:ascii="宋体" w:hAnsi="宋体" w:eastAsia="宋体" w:cs="宋体"/>
                <w:kern w:val="2"/>
                <w:sz w:val="21"/>
                <w:szCs w:val="21"/>
                <w:lang w:val="en-US" w:eastAsia="en-US" w:bidi="ar-SA"/>
              </w:rPr>
            </w:pPr>
            <w:r>
              <w:rPr>
                <w:spacing w:val="-6"/>
              </w:rPr>
              <w:t>18</w:t>
            </w:r>
          </w:p>
        </w:tc>
        <w:tc>
          <w:tcPr>
            <w:tcW w:w="1538" w:type="dxa"/>
            <w:shd w:val="clear" w:color="auto" w:fill="auto"/>
            <w:vAlign w:val="top"/>
          </w:tcPr>
          <w:p w14:paraId="0BAE09C8">
            <w:pPr>
              <w:pStyle w:val="7"/>
              <w:spacing w:before="52" w:line="275" w:lineRule="auto"/>
              <w:ind w:left="240" w:leftChars="0" w:right="139" w:rightChars="0" w:hanging="110" w:firstLineChars="0"/>
              <w:rPr>
                <w:rFonts w:ascii="宋体" w:hAnsi="宋体" w:eastAsia="宋体" w:cs="宋体"/>
                <w:kern w:val="2"/>
                <w:sz w:val="21"/>
                <w:szCs w:val="21"/>
                <w:lang w:val="en-US" w:eastAsia="en-US" w:bidi="ar-SA"/>
              </w:rPr>
            </w:pPr>
            <w:r>
              <w:rPr>
                <w:spacing w:val="1"/>
              </w:rPr>
              <w:t>▲专病管理服</w:t>
            </w:r>
            <w:r>
              <w:rPr>
                <w:spacing w:val="2"/>
              </w:rPr>
              <w:t>务延伸拓展</w:t>
            </w:r>
          </w:p>
        </w:tc>
        <w:tc>
          <w:tcPr>
            <w:tcW w:w="6287" w:type="dxa"/>
            <w:shd w:val="clear" w:color="auto" w:fill="auto"/>
            <w:vAlign w:val="top"/>
          </w:tcPr>
          <w:p w14:paraId="587D0251">
            <w:pPr>
              <w:pStyle w:val="7"/>
              <w:spacing w:before="65" w:line="251" w:lineRule="auto"/>
              <w:ind w:left="42" w:leftChars="0"/>
              <w:jc w:val="both"/>
              <w:rPr>
                <w:rFonts w:ascii="宋体" w:hAnsi="宋体" w:eastAsia="宋体" w:cs="宋体"/>
                <w:kern w:val="2"/>
                <w:sz w:val="21"/>
                <w:szCs w:val="21"/>
                <w:lang w:val="en-US" w:eastAsia="en-US" w:bidi="ar-SA"/>
              </w:rPr>
            </w:pPr>
            <w:r>
              <w:rPr>
                <w:spacing w:val="-4"/>
              </w:rPr>
              <w:t>互联网诊疗平台建立统一服务入口，支持专病管理服务平台统一管理，融合接入各病种全病程医疗管</w:t>
            </w:r>
            <w:r>
              <w:rPr>
                <w:spacing w:val="-3"/>
              </w:rPr>
              <w:t>理服务，支持国家数据平台智能化上报，便于科室</w:t>
            </w:r>
            <w:r>
              <w:rPr>
                <w:spacing w:val="1"/>
              </w:rPr>
              <w:t>管理及研究、专科联盟；如区域性动态心电平台、</w:t>
            </w:r>
            <w:r>
              <w:rPr>
                <w:spacing w:val="-1"/>
              </w:rPr>
              <w:t>区域性卒中平台等建设及统一管理。(需要提供承</w:t>
            </w:r>
            <w:r>
              <w:rPr>
                <w:spacing w:val="24"/>
              </w:rPr>
              <w:t>诺函)</w:t>
            </w:r>
          </w:p>
        </w:tc>
      </w:tr>
      <w:tr w14:paraId="1BE83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32073B70">
            <w:pPr>
              <w:pStyle w:val="7"/>
              <w:spacing w:before="105"/>
              <w:ind w:left="85" w:leftChars="0"/>
              <w:rPr>
                <w:rFonts w:ascii="宋体" w:hAnsi="宋体" w:eastAsia="宋体" w:cs="宋体"/>
                <w:kern w:val="2"/>
                <w:sz w:val="21"/>
                <w:szCs w:val="21"/>
                <w:lang w:val="en-US" w:eastAsia="en-US" w:bidi="ar-SA"/>
              </w:rPr>
            </w:pPr>
            <w:r>
              <w:rPr>
                <w:spacing w:val="-6"/>
              </w:rPr>
              <w:t>19</w:t>
            </w:r>
          </w:p>
        </w:tc>
        <w:tc>
          <w:tcPr>
            <w:tcW w:w="1538" w:type="dxa"/>
            <w:shd w:val="clear" w:color="auto" w:fill="auto"/>
            <w:vAlign w:val="top"/>
          </w:tcPr>
          <w:p w14:paraId="781235D1">
            <w:pPr>
              <w:pStyle w:val="7"/>
              <w:spacing w:before="75" w:line="220" w:lineRule="auto"/>
              <w:ind w:left="340" w:leftChars="0"/>
              <w:rPr>
                <w:rFonts w:ascii="宋体" w:hAnsi="宋体" w:eastAsia="宋体" w:cs="宋体"/>
                <w:kern w:val="2"/>
                <w:sz w:val="21"/>
                <w:szCs w:val="21"/>
                <w:lang w:val="en-US" w:eastAsia="en-US" w:bidi="ar-SA"/>
              </w:rPr>
            </w:pPr>
            <w:r>
              <w:rPr>
                <w:spacing w:val="2"/>
              </w:rPr>
              <w:t>医患沟通</w:t>
            </w:r>
          </w:p>
        </w:tc>
        <w:tc>
          <w:tcPr>
            <w:tcW w:w="6287" w:type="dxa"/>
            <w:shd w:val="clear" w:color="auto" w:fill="auto"/>
            <w:vAlign w:val="top"/>
          </w:tcPr>
          <w:p w14:paraId="4F7FF73B">
            <w:pPr>
              <w:pStyle w:val="7"/>
              <w:spacing w:before="63" w:line="242" w:lineRule="auto"/>
              <w:ind w:left="41" w:leftChars="0" w:hanging="29" w:firstLineChars="0"/>
              <w:jc w:val="both"/>
              <w:rPr>
                <w:rFonts w:hint="eastAsia" w:ascii="宋体" w:hAnsi="宋体" w:eastAsia="宋体" w:cs="宋体"/>
                <w:kern w:val="2"/>
                <w:sz w:val="21"/>
                <w:szCs w:val="21"/>
                <w:lang w:val="en-US" w:eastAsia="zh-CN" w:bidi="ar-SA"/>
              </w:rPr>
            </w:pPr>
            <w:r>
              <w:rPr>
                <w:spacing w:val="-6"/>
              </w:rPr>
              <w:t>构建互联网云诊室，方便医患双方的诊后实时沟</w:t>
            </w:r>
            <w:r>
              <w:rPr>
                <w:spacing w:val="-7"/>
              </w:rPr>
              <w:t>通，</w:t>
            </w:r>
            <w:r>
              <w:rPr>
                <w:spacing w:val="-4"/>
              </w:rPr>
              <w:t>必要情况可以使用电话语音沟通，平台会对双方号</w:t>
            </w:r>
            <w:r>
              <w:rPr>
                <w:spacing w:val="6"/>
              </w:rPr>
              <w:t>码进行隐私保护</w:t>
            </w:r>
            <w:r>
              <w:rPr>
                <w:rFonts w:hint="eastAsia"/>
                <w:spacing w:val="6"/>
                <w:lang w:eastAsia="zh-CN"/>
              </w:rPr>
              <w:t>。</w:t>
            </w:r>
          </w:p>
        </w:tc>
      </w:tr>
      <w:tr w14:paraId="2A98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435150F">
            <w:pPr>
              <w:pStyle w:val="7"/>
              <w:spacing w:before="106"/>
              <w:ind w:left="85" w:leftChars="0"/>
              <w:rPr>
                <w:rFonts w:ascii="宋体" w:hAnsi="宋体" w:eastAsia="宋体" w:cs="宋体"/>
                <w:kern w:val="2"/>
                <w:sz w:val="21"/>
                <w:szCs w:val="21"/>
                <w:lang w:val="en-US" w:eastAsia="en-US" w:bidi="ar-SA"/>
              </w:rPr>
            </w:pPr>
            <w:r>
              <w:rPr>
                <w:spacing w:val="-3"/>
              </w:rPr>
              <w:t>20</w:t>
            </w:r>
          </w:p>
        </w:tc>
        <w:tc>
          <w:tcPr>
            <w:tcW w:w="1538" w:type="dxa"/>
            <w:shd w:val="clear" w:color="auto" w:fill="auto"/>
            <w:vAlign w:val="top"/>
          </w:tcPr>
          <w:p w14:paraId="4B796838">
            <w:pPr>
              <w:pStyle w:val="7"/>
              <w:spacing w:before="75" w:line="219" w:lineRule="auto"/>
              <w:ind w:left="340" w:leftChars="0"/>
              <w:rPr>
                <w:rFonts w:ascii="宋体" w:hAnsi="宋体" w:eastAsia="宋体" w:cs="宋体"/>
                <w:kern w:val="2"/>
                <w:sz w:val="21"/>
                <w:szCs w:val="21"/>
                <w:lang w:val="en-US" w:eastAsia="en-US" w:bidi="ar-SA"/>
              </w:rPr>
            </w:pPr>
            <w:r>
              <w:rPr>
                <w:spacing w:val="3"/>
              </w:rPr>
              <w:t>群发消息</w:t>
            </w:r>
          </w:p>
        </w:tc>
        <w:tc>
          <w:tcPr>
            <w:tcW w:w="6287" w:type="dxa"/>
            <w:shd w:val="clear" w:color="auto" w:fill="auto"/>
            <w:vAlign w:val="top"/>
          </w:tcPr>
          <w:p w14:paraId="4B2077F0">
            <w:pPr>
              <w:pStyle w:val="7"/>
              <w:spacing w:before="65" w:line="235" w:lineRule="auto"/>
              <w:ind w:left="101" w:leftChars="0" w:right="50" w:rightChars="0" w:hanging="59" w:firstLineChars="0"/>
              <w:rPr>
                <w:rFonts w:hint="eastAsia" w:ascii="宋体" w:hAnsi="宋体" w:eastAsia="宋体" w:cs="宋体"/>
                <w:kern w:val="2"/>
                <w:sz w:val="21"/>
                <w:szCs w:val="21"/>
                <w:lang w:val="en-US" w:eastAsia="zh-CN" w:bidi="ar-SA"/>
              </w:rPr>
            </w:pPr>
            <w:r>
              <w:rPr>
                <w:spacing w:val="-1"/>
              </w:rPr>
              <w:t>支持医生、护士、药师向指定单个患者、患者群发</w:t>
            </w:r>
            <w:r>
              <w:rPr>
                <w:spacing w:val="2"/>
              </w:rPr>
              <w:t>送文字信息(疫情信息、门诊活动等)</w:t>
            </w:r>
            <w:r>
              <w:rPr>
                <w:rFonts w:hint="eastAsia"/>
                <w:spacing w:val="2"/>
                <w:lang w:eastAsia="zh-CN"/>
              </w:rPr>
              <w:t>。</w:t>
            </w:r>
          </w:p>
        </w:tc>
      </w:tr>
      <w:tr w14:paraId="4A097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2D40E7F6">
            <w:pPr>
              <w:pStyle w:val="7"/>
              <w:spacing w:before="86" w:line="241" w:lineRule="auto"/>
              <w:ind w:left="85" w:leftChars="0"/>
              <w:rPr>
                <w:rFonts w:ascii="宋体" w:hAnsi="宋体" w:eastAsia="宋体" w:cs="宋体"/>
                <w:kern w:val="2"/>
                <w:sz w:val="21"/>
                <w:szCs w:val="21"/>
                <w:lang w:val="en-US" w:eastAsia="en-US" w:bidi="ar-SA"/>
              </w:rPr>
            </w:pPr>
            <w:r>
              <w:rPr>
                <w:spacing w:val="-3"/>
              </w:rPr>
              <w:t>21</w:t>
            </w:r>
          </w:p>
        </w:tc>
        <w:tc>
          <w:tcPr>
            <w:tcW w:w="1538" w:type="dxa"/>
            <w:shd w:val="clear" w:color="auto" w:fill="auto"/>
            <w:vAlign w:val="top"/>
          </w:tcPr>
          <w:p w14:paraId="0E3C1328">
            <w:pPr>
              <w:pStyle w:val="7"/>
              <w:spacing w:before="65" w:line="219" w:lineRule="auto"/>
              <w:ind w:left="340" w:leftChars="0"/>
              <w:rPr>
                <w:rFonts w:ascii="宋体" w:hAnsi="宋体" w:eastAsia="宋体" w:cs="宋体"/>
                <w:kern w:val="2"/>
                <w:sz w:val="21"/>
                <w:szCs w:val="21"/>
                <w:lang w:val="en-US" w:eastAsia="en-US" w:bidi="ar-SA"/>
              </w:rPr>
            </w:pPr>
            <w:r>
              <w:rPr>
                <w:spacing w:val="2"/>
              </w:rPr>
              <w:t>患者宣教</w:t>
            </w:r>
          </w:p>
        </w:tc>
        <w:tc>
          <w:tcPr>
            <w:tcW w:w="6287" w:type="dxa"/>
            <w:shd w:val="clear" w:color="auto" w:fill="auto"/>
            <w:vAlign w:val="top"/>
          </w:tcPr>
          <w:p w14:paraId="753674A8">
            <w:pPr>
              <w:pStyle w:val="7"/>
              <w:spacing w:before="45" w:line="235" w:lineRule="auto"/>
              <w:ind w:left="101" w:leftChars="0" w:right="31" w:rightChars="0" w:hanging="59" w:firstLineChars="0"/>
              <w:rPr>
                <w:rFonts w:hint="eastAsia" w:ascii="宋体" w:hAnsi="宋体" w:eastAsia="宋体" w:cs="宋体"/>
                <w:kern w:val="2"/>
                <w:sz w:val="21"/>
                <w:szCs w:val="21"/>
                <w:lang w:val="en-US" w:eastAsia="zh-CN" w:bidi="ar-SA"/>
              </w:rPr>
            </w:pPr>
            <w:r>
              <w:t>医生可推送患教文章至患者或患者组，可维护医生</w:t>
            </w:r>
            <w:r>
              <w:rPr>
                <w:spacing w:val="2"/>
              </w:rPr>
              <w:t>文章在患者主页</w:t>
            </w:r>
            <w:r>
              <w:rPr>
                <w:rFonts w:hint="eastAsia"/>
                <w:spacing w:val="2"/>
                <w:lang w:eastAsia="zh-CN"/>
              </w:rPr>
              <w:t>。</w:t>
            </w:r>
          </w:p>
        </w:tc>
      </w:tr>
      <w:tr w14:paraId="2293D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B79A0AC">
            <w:pPr>
              <w:pStyle w:val="7"/>
              <w:spacing w:before="96" w:line="241" w:lineRule="auto"/>
              <w:ind w:left="85" w:leftChars="0"/>
              <w:rPr>
                <w:rFonts w:ascii="宋体" w:hAnsi="宋体" w:eastAsia="宋体" w:cs="宋体"/>
                <w:kern w:val="2"/>
                <w:sz w:val="21"/>
                <w:szCs w:val="21"/>
                <w:lang w:val="en-US" w:eastAsia="en-US" w:bidi="ar-SA"/>
              </w:rPr>
            </w:pPr>
            <w:r>
              <w:rPr>
                <w:spacing w:val="-3"/>
              </w:rPr>
              <w:t>22</w:t>
            </w:r>
          </w:p>
        </w:tc>
        <w:tc>
          <w:tcPr>
            <w:tcW w:w="1538" w:type="dxa"/>
            <w:shd w:val="clear" w:color="auto" w:fill="auto"/>
            <w:vAlign w:val="top"/>
          </w:tcPr>
          <w:p w14:paraId="5E460A20">
            <w:pPr>
              <w:pStyle w:val="7"/>
              <w:spacing w:before="55" w:line="219" w:lineRule="auto"/>
              <w:ind w:left="340" w:leftChars="0"/>
              <w:rPr>
                <w:rFonts w:ascii="宋体" w:hAnsi="宋体" w:eastAsia="宋体" w:cs="宋体"/>
                <w:kern w:val="2"/>
                <w:sz w:val="21"/>
                <w:szCs w:val="21"/>
                <w:lang w:val="en-US" w:eastAsia="en-US" w:bidi="ar-SA"/>
              </w:rPr>
            </w:pPr>
            <w:r>
              <w:rPr>
                <w:spacing w:val="1"/>
              </w:rPr>
              <w:t>随访管理</w:t>
            </w:r>
          </w:p>
        </w:tc>
        <w:tc>
          <w:tcPr>
            <w:tcW w:w="6287" w:type="dxa"/>
            <w:shd w:val="clear" w:color="auto" w:fill="auto"/>
            <w:vAlign w:val="top"/>
          </w:tcPr>
          <w:p w14:paraId="2DB52668">
            <w:pPr>
              <w:pStyle w:val="7"/>
              <w:spacing w:before="66" w:line="241" w:lineRule="auto"/>
              <w:ind w:left="42" w:leftChars="0" w:right="31" w:rightChars="0"/>
              <w:jc w:val="both"/>
              <w:rPr>
                <w:rFonts w:hint="eastAsia" w:ascii="宋体" w:hAnsi="宋体" w:eastAsia="宋体" w:cs="宋体"/>
                <w:kern w:val="2"/>
                <w:sz w:val="21"/>
                <w:szCs w:val="21"/>
                <w:lang w:val="en-US" w:eastAsia="zh-CN" w:bidi="ar-SA"/>
              </w:rPr>
            </w:pPr>
            <w:r>
              <w:t>医生可为患者设置随访计划，方便医生在院外跟踪患者病情，随访任务支持发消息、发问卷、发</w:t>
            </w:r>
            <w:r>
              <w:rPr>
                <w:rFonts w:hint="eastAsia"/>
                <w:lang w:val="en-US" w:eastAsia="zh-CN"/>
              </w:rPr>
              <w:t>文章。</w:t>
            </w:r>
          </w:p>
        </w:tc>
      </w:tr>
      <w:tr w14:paraId="0B62E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450D69B">
            <w:pPr>
              <w:pStyle w:val="7"/>
              <w:spacing w:before="87"/>
              <w:ind w:left="85" w:leftChars="0"/>
              <w:rPr>
                <w:rFonts w:ascii="宋体" w:hAnsi="宋体" w:eastAsia="宋体" w:cs="宋体"/>
                <w:kern w:val="2"/>
                <w:sz w:val="21"/>
                <w:szCs w:val="21"/>
                <w:lang w:val="en-US" w:eastAsia="en-US" w:bidi="ar-SA"/>
              </w:rPr>
            </w:pPr>
            <w:r>
              <w:rPr>
                <w:spacing w:val="-3"/>
              </w:rPr>
              <w:t>23</w:t>
            </w:r>
          </w:p>
        </w:tc>
        <w:tc>
          <w:tcPr>
            <w:tcW w:w="1538" w:type="dxa"/>
            <w:shd w:val="clear" w:color="auto" w:fill="auto"/>
            <w:vAlign w:val="top"/>
          </w:tcPr>
          <w:p w14:paraId="6511FD06">
            <w:pPr>
              <w:pStyle w:val="7"/>
              <w:spacing w:before="56" w:line="219" w:lineRule="auto"/>
              <w:ind w:left="130" w:leftChars="0"/>
              <w:rPr>
                <w:rFonts w:ascii="宋体" w:hAnsi="宋体" w:eastAsia="宋体" w:cs="宋体"/>
                <w:kern w:val="2"/>
                <w:sz w:val="21"/>
                <w:szCs w:val="21"/>
                <w:lang w:val="en-US" w:eastAsia="en-US" w:bidi="ar-SA"/>
              </w:rPr>
            </w:pPr>
            <w:r>
              <w:rPr>
                <w:spacing w:val="1"/>
              </w:rPr>
              <w:t>随访数据收集</w:t>
            </w:r>
          </w:p>
        </w:tc>
        <w:tc>
          <w:tcPr>
            <w:tcW w:w="6287" w:type="dxa"/>
            <w:shd w:val="clear" w:color="auto" w:fill="auto"/>
            <w:vAlign w:val="top"/>
          </w:tcPr>
          <w:p w14:paraId="6F4CE612">
            <w:pPr>
              <w:pStyle w:val="7"/>
              <w:spacing w:before="65" w:line="230" w:lineRule="auto"/>
              <w:ind w:left="101" w:leftChars="0" w:right="50" w:rightChars="0" w:hanging="59" w:firstLineChars="0"/>
              <w:rPr>
                <w:rFonts w:ascii="宋体" w:hAnsi="宋体" w:eastAsia="宋体" w:cs="宋体"/>
                <w:kern w:val="2"/>
                <w:sz w:val="21"/>
                <w:szCs w:val="21"/>
                <w:lang w:val="en-US" w:eastAsia="en-US" w:bidi="ar-SA"/>
              </w:rPr>
            </w:pPr>
            <w:r>
              <w:rPr>
                <w:spacing w:val="-1"/>
              </w:rPr>
              <w:t>根据随访计划自动推送电子化量表，方便患者自行应答康复情况，收录为随访病历长期跟踪。</w:t>
            </w:r>
          </w:p>
        </w:tc>
      </w:tr>
      <w:tr w14:paraId="0B80E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64882801">
            <w:pPr>
              <w:pStyle w:val="7"/>
              <w:spacing w:before="78" w:line="241" w:lineRule="auto"/>
              <w:ind w:left="85" w:leftChars="0"/>
              <w:rPr>
                <w:rFonts w:ascii="宋体" w:hAnsi="宋体" w:eastAsia="宋体" w:cs="宋体"/>
                <w:kern w:val="2"/>
                <w:sz w:val="21"/>
                <w:szCs w:val="21"/>
                <w:lang w:val="en-US" w:eastAsia="en-US" w:bidi="ar-SA"/>
              </w:rPr>
            </w:pPr>
            <w:r>
              <w:rPr>
                <w:spacing w:val="-3"/>
              </w:rPr>
              <w:t>24</w:t>
            </w:r>
          </w:p>
        </w:tc>
        <w:tc>
          <w:tcPr>
            <w:tcW w:w="1538" w:type="dxa"/>
            <w:shd w:val="clear" w:color="auto" w:fill="auto"/>
            <w:vAlign w:val="top"/>
          </w:tcPr>
          <w:p w14:paraId="7270B452">
            <w:pPr>
              <w:pStyle w:val="7"/>
              <w:spacing w:before="47" w:line="219" w:lineRule="auto"/>
              <w:ind w:left="130" w:leftChars="0"/>
              <w:rPr>
                <w:rFonts w:ascii="宋体" w:hAnsi="宋体" w:eastAsia="宋体" w:cs="宋体"/>
                <w:kern w:val="2"/>
                <w:sz w:val="21"/>
                <w:szCs w:val="21"/>
                <w:lang w:val="en-US" w:eastAsia="en-US" w:bidi="ar-SA"/>
              </w:rPr>
            </w:pPr>
            <w:r>
              <w:rPr>
                <w:spacing w:val="-2"/>
              </w:rPr>
              <w:t>指标监测管理</w:t>
            </w:r>
          </w:p>
        </w:tc>
        <w:tc>
          <w:tcPr>
            <w:tcW w:w="6287" w:type="dxa"/>
            <w:shd w:val="clear" w:color="auto" w:fill="auto"/>
            <w:vAlign w:val="top"/>
          </w:tcPr>
          <w:p w14:paraId="454F1AED">
            <w:pPr>
              <w:pStyle w:val="7"/>
              <w:spacing w:before="59" w:line="243" w:lineRule="auto"/>
              <w:ind w:left="42" w:leftChars="0" w:right="31" w:rightChars="0"/>
              <w:jc w:val="both"/>
              <w:rPr>
                <w:rFonts w:hint="eastAsia" w:ascii="宋体" w:hAnsi="宋体" w:eastAsia="宋体" w:cs="宋体"/>
                <w:kern w:val="2"/>
                <w:sz w:val="21"/>
                <w:szCs w:val="21"/>
                <w:lang w:val="en-US" w:eastAsia="zh-CN" w:bidi="ar-SA"/>
              </w:rPr>
            </w:pPr>
            <w:r>
              <w:t>医生可为患者设置监测计划，如血糖、血压、饮食</w:t>
            </w:r>
            <w:r>
              <w:rPr>
                <w:spacing w:val="-1"/>
              </w:rPr>
              <w:t>等管理计划，帮助医生更好的进行专病管理，医生</w:t>
            </w:r>
            <w:r>
              <w:rPr>
                <w:spacing w:val="5"/>
              </w:rPr>
              <w:t>可查看患者血糖等记录情况</w:t>
            </w:r>
            <w:r>
              <w:rPr>
                <w:rFonts w:hint="eastAsia"/>
                <w:spacing w:val="5"/>
                <w:lang w:eastAsia="zh-CN"/>
              </w:rPr>
              <w:t>。</w:t>
            </w:r>
          </w:p>
        </w:tc>
      </w:tr>
      <w:tr w14:paraId="6D807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581" w:type="dxa"/>
            <w:gridSpan w:val="3"/>
            <w:shd w:val="clear" w:color="auto" w:fill="auto"/>
            <w:vAlign w:val="center"/>
          </w:tcPr>
          <w:p w14:paraId="24ACA567">
            <w:pPr>
              <w:pStyle w:val="7"/>
              <w:spacing w:before="56" w:line="275" w:lineRule="auto"/>
              <w:ind w:left="270" w:right="63" w:hanging="209"/>
              <w:jc w:val="center"/>
              <w:rPr>
                <w:color w:val="0000FF"/>
              </w:rPr>
            </w:pPr>
            <w:r>
              <w:rPr>
                <w:spacing w:val="1"/>
              </w:rPr>
              <w:t>门诊住院服务</w:t>
            </w:r>
          </w:p>
        </w:tc>
      </w:tr>
      <w:tr w14:paraId="24D4C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32EB5E45">
            <w:pPr>
              <w:pStyle w:val="7"/>
              <w:spacing w:before="80" w:line="189" w:lineRule="auto"/>
              <w:ind w:left="85" w:leftChars="0"/>
              <w:rPr>
                <w:rFonts w:ascii="宋体" w:hAnsi="宋体" w:eastAsia="宋体" w:cs="宋体"/>
                <w:kern w:val="2"/>
                <w:sz w:val="21"/>
                <w:szCs w:val="21"/>
                <w:lang w:val="en-US" w:eastAsia="en-US" w:bidi="ar-SA"/>
              </w:rPr>
            </w:pPr>
            <w:r>
              <w:rPr>
                <w:spacing w:val="-3"/>
              </w:rPr>
              <w:t>25</w:t>
            </w:r>
          </w:p>
        </w:tc>
        <w:tc>
          <w:tcPr>
            <w:tcW w:w="1538" w:type="dxa"/>
            <w:shd w:val="clear" w:color="auto" w:fill="auto"/>
            <w:vAlign w:val="top"/>
          </w:tcPr>
          <w:p w14:paraId="230346B9">
            <w:pPr>
              <w:pStyle w:val="7"/>
              <w:spacing w:before="58" w:line="208" w:lineRule="auto"/>
              <w:ind w:left="240" w:leftChars="0"/>
              <w:rPr>
                <w:rFonts w:ascii="宋体" w:hAnsi="宋体" w:eastAsia="宋体" w:cs="宋体"/>
                <w:kern w:val="2"/>
                <w:sz w:val="21"/>
                <w:szCs w:val="21"/>
                <w:lang w:val="en-US" w:eastAsia="en-US" w:bidi="ar-SA"/>
              </w:rPr>
            </w:pPr>
            <w:r>
              <w:rPr>
                <w:spacing w:val="3"/>
              </w:rPr>
              <w:t>▲在线建档</w:t>
            </w:r>
          </w:p>
        </w:tc>
        <w:tc>
          <w:tcPr>
            <w:tcW w:w="6287" w:type="dxa"/>
            <w:shd w:val="clear" w:color="auto" w:fill="auto"/>
            <w:vAlign w:val="top"/>
          </w:tcPr>
          <w:p w14:paraId="083181F0">
            <w:pPr>
              <w:pStyle w:val="7"/>
              <w:spacing w:before="58" w:line="208" w:lineRule="auto"/>
              <w:ind w:left="42" w:leftChars="0"/>
              <w:rPr>
                <w:rFonts w:ascii="宋体" w:hAnsi="宋体" w:eastAsia="宋体" w:cs="宋体"/>
                <w:kern w:val="2"/>
                <w:sz w:val="21"/>
                <w:szCs w:val="21"/>
                <w:lang w:val="en-US" w:eastAsia="en-US" w:bidi="ar-SA"/>
              </w:rPr>
            </w:pPr>
            <w:r>
              <w:rPr>
                <w:spacing w:val="1"/>
              </w:rPr>
              <w:t>调用医院统一建档接口，患者小程序在线完成实名</w:t>
            </w:r>
            <w:r>
              <w:rPr>
                <w:color w:val="102040"/>
                <w:spacing w:val="-10"/>
              </w:rPr>
              <w:t>认证，</w:t>
            </w:r>
            <w:r>
              <w:rPr>
                <w:spacing w:val="-10"/>
              </w:rPr>
              <w:t>如身份证、社保卡、银行卡等。</w:t>
            </w:r>
          </w:p>
        </w:tc>
      </w:tr>
      <w:tr w14:paraId="10196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756" w:type="dxa"/>
            <w:shd w:val="clear" w:color="auto" w:fill="auto"/>
            <w:vAlign w:val="top"/>
          </w:tcPr>
          <w:p w14:paraId="6DDBECF3">
            <w:pPr>
              <w:pStyle w:val="7"/>
              <w:spacing w:before="80" w:line="189" w:lineRule="auto"/>
              <w:ind w:left="85" w:leftChars="0"/>
              <w:rPr>
                <w:rFonts w:ascii="宋体" w:hAnsi="宋体" w:eastAsia="宋体" w:cs="宋体"/>
                <w:kern w:val="2"/>
                <w:sz w:val="28"/>
                <w:szCs w:val="28"/>
                <w:lang w:val="en-US" w:eastAsia="en-US" w:bidi="ar-SA"/>
              </w:rPr>
            </w:pPr>
            <w:r>
              <w:rPr>
                <w:spacing w:val="-3"/>
              </w:rPr>
              <w:t>26</w:t>
            </w:r>
          </w:p>
        </w:tc>
        <w:tc>
          <w:tcPr>
            <w:tcW w:w="1538" w:type="dxa"/>
            <w:shd w:val="clear" w:color="auto" w:fill="auto"/>
            <w:vAlign w:val="top"/>
          </w:tcPr>
          <w:p w14:paraId="6D7A4E04">
            <w:pPr>
              <w:pStyle w:val="7"/>
              <w:spacing w:before="80" w:line="258" w:lineRule="auto"/>
              <w:ind w:left="549" w:leftChars="0" w:right="60" w:rightChars="0" w:hanging="469" w:firstLineChars="0"/>
              <w:rPr>
                <w:rFonts w:ascii="宋体" w:hAnsi="宋体" w:eastAsia="宋体" w:cs="宋体"/>
                <w:kern w:val="2"/>
                <w:sz w:val="21"/>
                <w:szCs w:val="21"/>
                <w:lang w:val="en-US" w:eastAsia="en-US" w:bidi="ar-SA"/>
              </w:rPr>
            </w:pPr>
            <w:r>
              <w:rPr>
                <w:spacing w:val="-10"/>
              </w:rPr>
              <w:t>预约挂号/</w:t>
            </w:r>
            <w:r>
              <w:rPr>
                <w:color w:val="102040"/>
                <w:spacing w:val="-10"/>
              </w:rPr>
              <w:t>当日</w:t>
            </w:r>
            <w:r>
              <w:rPr>
                <w:spacing w:val="6"/>
              </w:rPr>
              <w:t>挂号</w:t>
            </w:r>
          </w:p>
        </w:tc>
        <w:tc>
          <w:tcPr>
            <w:tcW w:w="6287" w:type="dxa"/>
            <w:shd w:val="clear" w:color="auto" w:fill="auto"/>
            <w:vAlign w:val="top"/>
          </w:tcPr>
          <w:p w14:paraId="6B7518AB">
            <w:pPr>
              <w:pStyle w:val="7"/>
              <w:spacing w:before="66" w:line="241" w:lineRule="auto"/>
              <w:ind w:left="22" w:leftChars="0" w:right="21" w:rightChars="0"/>
              <w:jc w:val="both"/>
              <w:rPr>
                <w:rFonts w:ascii="宋体" w:hAnsi="宋体" w:eastAsia="宋体" w:cs="宋体"/>
                <w:kern w:val="2"/>
                <w:sz w:val="21"/>
                <w:szCs w:val="21"/>
                <w:lang w:val="en-US" w:eastAsia="en-US" w:bidi="ar-SA"/>
              </w:rPr>
            </w:pPr>
            <w:r>
              <w:rPr>
                <w:spacing w:val="-1"/>
              </w:rPr>
              <w:t>对接合作医院开放的可预约时段的号源，通过手机</w:t>
            </w:r>
            <w:r>
              <w:t>直接预约挂号，线上完成支付。缩短看病流程，节</w:t>
            </w:r>
            <w:r>
              <w:rPr>
                <w:spacing w:val="4"/>
              </w:rPr>
              <w:t>约患者时间，改善就医环境。</w:t>
            </w:r>
          </w:p>
        </w:tc>
      </w:tr>
      <w:tr w14:paraId="576C5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69B55D20">
            <w:pPr>
              <w:pStyle w:val="7"/>
              <w:spacing w:before="90"/>
              <w:ind w:left="84" w:leftChars="0"/>
              <w:rPr>
                <w:rFonts w:ascii="宋体" w:hAnsi="宋体" w:eastAsia="宋体" w:cs="宋体"/>
                <w:kern w:val="2"/>
                <w:sz w:val="21"/>
                <w:szCs w:val="21"/>
                <w:lang w:val="en-US" w:eastAsia="en-US" w:bidi="ar-SA"/>
              </w:rPr>
            </w:pPr>
            <w:r>
              <w:rPr>
                <w:spacing w:val="-3"/>
              </w:rPr>
              <w:t>27</w:t>
            </w:r>
          </w:p>
        </w:tc>
        <w:tc>
          <w:tcPr>
            <w:tcW w:w="1538" w:type="dxa"/>
            <w:shd w:val="clear" w:color="auto" w:fill="auto"/>
            <w:vAlign w:val="top"/>
          </w:tcPr>
          <w:p w14:paraId="72827D3C">
            <w:pPr>
              <w:pStyle w:val="7"/>
              <w:spacing w:before="60" w:line="220" w:lineRule="auto"/>
              <w:ind w:left="130" w:leftChars="0"/>
              <w:rPr>
                <w:rFonts w:ascii="宋体" w:hAnsi="宋体" w:eastAsia="宋体" w:cs="宋体"/>
                <w:kern w:val="2"/>
                <w:sz w:val="21"/>
                <w:szCs w:val="21"/>
                <w:lang w:val="en-US" w:eastAsia="en-US" w:bidi="ar-SA"/>
              </w:rPr>
            </w:pPr>
            <w:r>
              <w:rPr>
                <w:spacing w:val="2"/>
              </w:rPr>
              <w:t>预约取号签到</w:t>
            </w:r>
          </w:p>
        </w:tc>
        <w:tc>
          <w:tcPr>
            <w:tcW w:w="6287" w:type="dxa"/>
            <w:shd w:val="clear" w:color="auto" w:fill="auto"/>
            <w:vAlign w:val="top"/>
          </w:tcPr>
          <w:p w14:paraId="0D9B2BAC">
            <w:pPr>
              <w:pStyle w:val="7"/>
              <w:spacing w:before="69" w:line="243" w:lineRule="auto"/>
              <w:ind w:left="12" w:leftChars="0" w:firstLine="9" w:firstLineChars="0"/>
              <w:jc w:val="both"/>
              <w:rPr>
                <w:rFonts w:ascii="宋体" w:hAnsi="宋体" w:eastAsia="宋体" w:cs="宋体"/>
                <w:kern w:val="2"/>
                <w:sz w:val="21"/>
                <w:szCs w:val="21"/>
                <w:lang w:val="en-US" w:eastAsia="en-US" w:bidi="ar-SA"/>
              </w:rPr>
            </w:pPr>
            <w:r>
              <w:rPr>
                <w:spacing w:val="-5"/>
              </w:rPr>
              <w:t>支持微信，现场线上缴费，无需患者反复跑窗口排</w:t>
            </w:r>
            <w:r>
              <w:rPr>
                <w:spacing w:val="-4"/>
              </w:rPr>
              <w:t>队。改善就医环境，减轻医院缴费窗口压力，节约</w:t>
            </w:r>
            <w:r>
              <w:rPr>
                <w:spacing w:val="-8"/>
              </w:rPr>
              <w:t>成本，提升患者就诊体验，患者就诊更为经济实惠。</w:t>
            </w:r>
          </w:p>
        </w:tc>
      </w:tr>
      <w:tr w14:paraId="37E70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756" w:type="dxa"/>
            <w:shd w:val="clear" w:color="auto" w:fill="auto"/>
            <w:vAlign w:val="top"/>
          </w:tcPr>
          <w:p w14:paraId="3411AA31">
            <w:pPr>
              <w:pStyle w:val="7"/>
              <w:spacing w:before="81"/>
              <w:ind w:left="84" w:leftChars="0"/>
              <w:rPr>
                <w:rFonts w:ascii="宋体" w:hAnsi="宋体" w:eastAsia="宋体" w:cs="宋体"/>
                <w:kern w:val="2"/>
                <w:sz w:val="21"/>
                <w:szCs w:val="21"/>
                <w:lang w:val="en-US" w:eastAsia="en-US" w:bidi="ar-SA"/>
              </w:rPr>
            </w:pPr>
            <w:r>
              <w:rPr>
                <w:spacing w:val="-3"/>
              </w:rPr>
              <w:t>28</w:t>
            </w:r>
          </w:p>
        </w:tc>
        <w:tc>
          <w:tcPr>
            <w:tcW w:w="1538" w:type="dxa"/>
            <w:shd w:val="clear" w:color="auto" w:fill="auto"/>
            <w:vAlign w:val="top"/>
          </w:tcPr>
          <w:p w14:paraId="5B3C029D">
            <w:pPr>
              <w:pStyle w:val="7"/>
              <w:spacing w:before="61" w:line="220" w:lineRule="auto"/>
              <w:ind w:left="340" w:leftChars="0"/>
              <w:rPr>
                <w:rFonts w:ascii="宋体" w:hAnsi="宋体" w:eastAsia="宋体" w:cs="宋体"/>
                <w:kern w:val="2"/>
                <w:sz w:val="21"/>
                <w:szCs w:val="21"/>
                <w:lang w:val="en-US" w:eastAsia="en-US" w:bidi="ar-SA"/>
              </w:rPr>
            </w:pPr>
            <w:r>
              <w:rPr>
                <w:spacing w:val="-2"/>
              </w:rPr>
              <w:t>有号提醒</w:t>
            </w:r>
          </w:p>
        </w:tc>
        <w:tc>
          <w:tcPr>
            <w:tcW w:w="6287" w:type="dxa"/>
            <w:shd w:val="clear" w:color="auto" w:fill="auto"/>
            <w:vAlign w:val="top"/>
          </w:tcPr>
          <w:p w14:paraId="2CE8F4D6">
            <w:pPr>
              <w:pStyle w:val="7"/>
              <w:spacing w:before="49" w:line="243" w:lineRule="auto"/>
              <w:ind w:left="22" w:leftChars="0" w:firstLine="49" w:firstLineChars="0"/>
              <w:jc w:val="both"/>
              <w:rPr>
                <w:rFonts w:ascii="宋体" w:hAnsi="宋体" w:eastAsia="宋体" w:cs="宋体"/>
                <w:kern w:val="2"/>
                <w:sz w:val="21"/>
                <w:szCs w:val="21"/>
                <w:lang w:val="en-US" w:eastAsia="en-US" w:bidi="ar-SA"/>
              </w:rPr>
            </w:pPr>
            <w:r>
              <w:rPr>
                <w:spacing w:val="-1"/>
              </w:rPr>
              <w:t>患者对于自己感兴趣但无号的医生设置有号提醒，当医生有号源之后，系统将推送消息给患者告知医</w:t>
            </w:r>
            <w:r>
              <w:rPr>
                <w:spacing w:val="19"/>
              </w:rPr>
              <w:t>生已有号</w:t>
            </w:r>
          </w:p>
        </w:tc>
      </w:tr>
      <w:tr w14:paraId="60CD1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58306983">
            <w:pPr>
              <w:pStyle w:val="7"/>
              <w:spacing w:before="92"/>
              <w:ind w:left="84" w:leftChars="0"/>
              <w:rPr>
                <w:rFonts w:ascii="宋体" w:hAnsi="宋体" w:eastAsia="宋体" w:cs="宋体"/>
                <w:kern w:val="2"/>
                <w:sz w:val="21"/>
                <w:szCs w:val="21"/>
                <w:lang w:val="en-US" w:eastAsia="en-US" w:bidi="ar-SA"/>
              </w:rPr>
            </w:pPr>
            <w:r>
              <w:rPr>
                <w:spacing w:val="-3"/>
              </w:rPr>
              <w:t>29</w:t>
            </w:r>
          </w:p>
        </w:tc>
        <w:tc>
          <w:tcPr>
            <w:tcW w:w="1538" w:type="dxa"/>
            <w:shd w:val="clear" w:color="auto" w:fill="auto"/>
            <w:vAlign w:val="top"/>
          </w:tcPr>
          <w:p w14:paraId="144D38FB">
            <w:pPr>
              <w:pStyle w:val="7"/>
              <w:spacing w:before="42" w:line="221" w:lineRule="auto"/>
              <w:ind w:left="340" w:leftChars="0"/>
              <w:rPr>
                <w:rFonts w:ascii="宋体" w:hAnsi="宋体" w:eastAsia="宋体" w:cs="宋体"/>
                <w:kern w:val="2"/>
                <w:sz w:val="21"/>
                <w:szCs w:val="21"/>
                <w:lang w:val="en-US" w:eastAsia="en-US" w:bidi="ar-SA"/>
              </w:rPr>
            </w:pPr>
            <w:r>
              <w:rPr>
                <w:spacing w:val="3"/>
              </w:rPr>
              <w:t>排队叫号</w:t>
            </w:r>
          </w:p>
        </w:tc>
        <w:tc>
          <w:tcPr>
            <w:tcW w:w="6287" w:type="dxa"/>
            <w:shd w:val="clear" w:color="auto" w:fill="auto"/>
            <w:vAlign w:val="top"/>
          </w:tcPr>
          <w:p w14:paraId="7CF73170">
            <w:pPr>
              <w:pStyle w:val="7"/>
              <w:spacing w:before="61" w:line="251" w:lineRule="auto"/>
              <w:ind w:left="22" w:leftChars="0"/>
              <w:jc w:val="both"/>
              <w:rPr>
                <w:rFonts w:ascii="宋体" w:hAnsi="宋体" w:eastAsia="宋体" w:cs="宋体"/>
                <w:kern w:val="2"/>
                <w:sz w:val="21"/>
                <w:szCs w:val="21"/>
                <w:lang w:val="en-US" w:eastAsia="en-US" w:bidi="ar-SA"/>
              </w:rPr>
            </w:pPr>
            <w:r>
              <w:rPr>
                <w:spacing w:val="-1"/>
              </w:rPr>
              <w:t>排队叫号，患者在挂号后可以设置叫号提醒，一定</w:t>
            </w:r>
            <w:r>
              <w:rPr>
                <w:color w:val="102030"/>
                <w:spacing w:val="-1"/>
              </w:rPr>
              <w:t>程度上解决病人就诊时排队的无序、</w:t>
            </w:r>
            <w:r>
              <w:rPr>
                <w:spacing w:val="-1"/>
              </w:rPr>
              <w:t>医生工作量的不平衡、环境的嘈杂等问题，加强信息引导和信息</w:t>
            </w:r>
            <w:r>
              <w:rPr>
                <w:spacing w:val="1"/>
              </w:rPr>
              <w:t>管理；缓解院区拥挤，减少黄牛，</w:t>
            </w:r>
            <w:r>
              <w:rPr>
                <w:color w:val="203040"/>
                <w:spacing w:val="1"/>
              </w:rPr>
              <w:t>减少现场人员，</w:t>
            </w:r>
            <w:r>
              <w:rPr>
                <w:spacing w:val="4"/>
              </w:rPr>
              <w:t>节约成本，提升患者满意度。</w:t>
            </w:r>
          </w:p>
        </w:tc>
      </w:tr>
      <w:tr w14:paraId="46ABD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756" w:type="dxa"/>
            <w:shd w:val="clear" w:color="auto" w:fill="auto"/>
            <w:vAlign w:val="top"/>
          </w:tcPr>
          <w:p w14:paraId="03BF6281">
            <w:pPr>
              <w:pStyle w:val="7"/>
              <w:spacing w:before="73"/>
              <w:ind w:left="84" w:leftChars="0"/>
              <w:rPr>
                <w:rFonts w:ascii="宋体" w:hAnsi="宋体" w:eastAsia="宋体" w:cs="宋体"/>
                <w:kern w:val="2"/>
                <w:sz w:val="21"/>
                <w:szCs w:val="21"/>
                <w:lang w:val="en-US" w:eastAsia="en-US" w:bidi="ar-SA"/>
              </w:rPr>
            </w:pPr>
            <w:r>
              <w:rPr>
                <w:spacing w:val="-4"/>
              </w:rPr>
              <w:t>30</w:t>
            </w:r>
          </w:p>
        </w:tc>
        <w:tc>
          <w:tcPr>
            <w:tcW w:w="1538" w:type="dxa"/>
            <w:shd w:val="clear" w:color="auto" w:fill="auto"/>
            <w:vAlign w:val="top"/>
          </w:tcPr>
          <w:p w14:paraId="04035CB4">
            <w:pPr>
              <w:pStyle w:val="7"/>
              <w:spacing w:before="52" w:line="219" w:lineRule="auto"/>
              <w:ind w:left="340" w:leftChars="0"/>
              <w:rPr>
                <w:rFonts w:ascii="宋体" w:hAnsi="宋体" w:eastAsia="宋体" w:cs="宋体"/>
                <w:kern w:val="2"/>
                <w:sz w:val="21"/>
                <w:szCs w:val="21"/>
                <w:lang w:val="en-US" w:eastAsia="en-US" w:bidi="ar-SA"/>
              </w:rPr>
            </w:pPr>
            <w:r>
              <w:rPr>
                <w:spacing w:val="4"/>
              </w:rPr>
              <w:t>检查预约</w:t>
            </w:r>
          </w:p>
        </w:tc>
        <w:tc>
          <w:tcPr>
            <w:tcW w:w="6287" w:type="dxa"/>
            <w:shd w:val="clear" w:color="auto" w:fill="auto"/>
            <w:vAlign w:val="top"/>
          </w:tcPr>
          <w:p w14:paraId="0EB85ED7">
            <w:pPr>
              <w:pStyle w:val="7"/>
              <w:spacing w:before="51" w:line="241" w:lineRule="auto"/>
              <w:ind w:left="101" w:leftChars="0" w:right="71" w:rightChars="0" w:hanging="29" w:firstLineChars="0"/>
              <w:rPr>
                <w:rFonts w:ascii="宋体" w:hAnsi="宋体" w:eastAsia="宋体" w:cs="宋体"/>
                <w:kern w:val="2"/>
                <w:sz w:val="21"/>
                <w:szCs w:val="21"/>
                <w:lang w:val="en-US" w:eastAsia="en-US" w:bidi="ar-SA"/>
              </w:rPr>
            </w:pPr>
            <w:r>
              <w:t>院内HIS同步的检查信息，支持患者在线预约进行</w:t>
            </w:r>
            <w:r>
              <w:rPr>
                <w:spacing w:val="-3"/>
              </w:rPr>
              <w:t>支付</w:t>
            </w:r>
          </w:p>
        </w:tc>
      </w:tr>
      <w:tr w14:paraId="52003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ABD9993">
            <w:pPr>
              <w:pStyle w:val="7"/>
              <w:spacing w:before="73"/>
              <w:ind w:left="84" w:leftChars="0"/>
              <w:rPr>
                <w:rFonts w:ascii="宋体" w:hAnsi="宋体" w:eastAsia="宋体" w:cs="宋体"/>
                <w:kern w:val="2"/>
                <w:sz w:val="21"/>
                <w:szCs w:val="21"/>
                <w:lang w:val="en-US" w:eastAsia="en-US" w:bidi="ar-SA"/>
              </w:rPr>
            </w:pPr>
            <w:r>
              <w:rPr>
                <w:spacing w:val="-4"/>
              </w:rPr>
              <w:t>31</w:t>
            </w:r>
          </w:p>
        </w:tc>
        <w:tc>
          <w:tcPr>
            <w:tcW w:w="1538" w:type="dxa"/>
            <w:shd w:val="clear" w:color="auto" w:fill="auto"/>
            <w:vAlign w:val="top"/>
          </w:tcPr>
          <w:p w14:paraId="3D4256E9">
            <w:pPr>
              <w:pStyle w:val="7"/>
              <w:spacing w:before="52" w:line="219" w:lineRule="auto"/>
              <w:ind w:left="340" w:leftChars="0"/>
              <w:rPr>
                <w:rFonts w:ascii="宋体" w:hAnsi="宋体" w:eastAsia="宋体" w:cs="宋体"/>
                <w:kern w:val="2"/>
                <w:sz w:val="21"/>
                <w:szCs w:val="21"/>
                <w:lang w:val="en-US" w:eastAsia="en-US" w:bidi="ar-SA"/>
              </w:rPr>
            </w:pPr>
            <w:r>
              <w:rPr>
                <w:spacing w:val="3"/>
              </w:rPr>
              <w:t>自助缴费</w:t>
            </w:r>
          </w:p>
        </w:tc>
        <w:tc>
          <w:tcPr>
            <w:tcW w:w="6287" w:type="dxa"/>
            <w:shd w:val="clear" w:color="auto" w:fill="auto"/>
            <w:vAlign w:val="top"/>
          </w:tcPr>
          <w:p w14:paraId="76536A8A">
            <w:pPr>
              <w:pStyle w:val="7"/>
              <w:spacing w:before="52" w:line="249" w:lineRule="auto"/>
              <w:ind w:left="22" w:leftChars="0" w:firstLine="49" w:firstLineChars="0"/>
              <w:jc w:val="both"/>
              <w:rPr>
                <w:rFonts w:ascii="宋体" w:hAnsi="宋体" w:eastAsia="宋体" w:cs="宋体"/>
                <w:kern w:val="2"/>
                <w:sz w:val="21"/>
                <w:szCs w:val="21"/>
                <w:lang w:val="en-US" w:eastAsia="en-US" w:bidi="ar-SA"/>
              </w:rPr>
            </w:pPr>
            <w:r>
              <w:rPr>
                <w:spacing w:val="-1"/>
              </w:rPr>
              <w:t>选择就诊人、就诊卡后显示该就诊人待缴费列表，</w:t>
            </w:r>
            <w:r>
              <w:rPr>
                <w:spacing w:val="-2"/>
              </w:rPr>
              <w:t>可进行费用明细查看，并进行在线缴费，无需患者反复跑窗口排队。改善就医环境，减轻医院缴费窗</w:t>
            </w:r>
            <w:r>
              <w:rPr>
                <w:spacing w:val="-1"/>
              </w:rPr>
              <w:t>口压力，节约成本，提升患者就诊体验，患者就诊</w:t>
            </w:r>
            <w:r>
              <w:rPr>
                <w:spacing w:val="9"/>
              </w:rPr>
              <w:t>更为经济实惠。</w:t>
            </w:r>
          </w:p>
        </w:tc>
      </w:tr>
      <w:tr w14:paraId="36437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07762687">
            <w:pPr>
              <w:pStyle w:val="7"/>
              <w:spacing w:before="74"/>
              <w:ind w:left="84" w:leftChars="0"/>
              <w:rPr>
                <w:rFonts w:ascii="宋体" w:hAnsi="宋体" w:eastAsia="宋体" w:cs="宋体"/>
                <w:kern w:val="2"/>
                <w:sz w:val="21"/>
                <w:szCs w:val="21"/>
                <w:lang w:val="en-US" w:eastAsia="en-US" w:bidi="ar-SA"/>
              </w:rPr>
            </w:pPr>
            <w:r>
              <w:rPr>
                <w:spacing w:val="-4"/>
              </w:rPr>
              <w:t>32</w:t>
            </w:r>
          </w:p>
        </w:tc>
        <w:tc>
          <w:tcPr>
            <w:tcW w:w="1538" w:type="dxa"/>
            <w:shd w:val="clear" w:color="auto" w:fill="auto"/>
            <w:vAlign w:val="top"/>
          </w:tcPr>
          <w:p w14:paraId="0A485207">
            <w:pPr>
              <w:pStyle w:val="7"/>
              <w:spacing w:before="53" w:line="264" w:lineRule="auto"/>
              <w:ind w:left="660" w:leftChars="0" w:right="103" w:rightChars="0" w:hanging="580" w:firstLineChars="0"/>
              <w:rPr>
                <w:rFonts w:ascii="宋体" w:hAnsi="宋体" w:eastAsia="宋体" w:cs="宋体"/>
                <w:kern w:val="2"/>
                <w:sz w:val="21"/>
                <w:szCs w:val="21"/>
                <w:lang w:val="en-US" w:eastAsia="en-US" w:bidi="ar-SA"/>
              </w:rPr>
            </w:pPr>
            <w:r>
              <w:rPr>
                <w:spacing w:val="-2"/>
              </w:rPr>
              <w:t>查检查/检验报</w:t>
            </w:r>
            <w:r>
              <w:t>告</w:t>
            </w:r>
          </w:p>
        </w:tc>
        <w:tc>
          <w:tcPr>
            <w:tcW w:w="6287" w:type="dxa"/>
            <w:shd w:val="clear" w:color="auto" w:fill="auto"/>
            <w:vAlign w:val="top"/>
          </w:tcPr>
          <w:p w14:paraId="532C9F0D">
            <w:pPr>
              <w:pStyle w:val="7"/>
              <w:spacing w:before="50" w:line="248" w:lineRule="auto"/>
              <w:jc w:val="both"/>
              <w:rPr>
                <w:rFonts w:ascii="宋体" w:hAnsi="宋体" w:eastAsia="宋体" w:cs="宋体"/>
                <w:kern w:val="2"/>
                <w:sz w:val="21"/>
                <w:szCs w:val="21"/>
                <w:lang w:val="en-US" w:eastAsia="en-US" w:bidi="ar-SA"/>
              </w:rPr>
            </w:pPr>
            <w:r>
              <w:rPr>
                <w:spacing w:val="-16"/>
              </w:rPr>
              <w:t>支持患者通过手机查询其在医院的检查/检验报告单，</w:t>
            </w:r>
            <w:r>
              <w:rPr>
                <w:spacing w:val="-5"/>
              </w:rPr>
              <w:t>减少医院建设中的硬件投入，减少现场人员和成本提升患者满意度；第一时间获得检查检验报告；方</w:t>
            </w:r>
            <w:r>
              <w:rPr>
                <w:spacing w:val="6"/>
              </w:rPr>
              <w:t>便获取与保存。</w:t>
            </w:r>
          </w:p>
        </w:tc>
      </w:tr>
      <w:tr w14:paraId="0976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23C0683D">
            <w:pPr>
              <w:pStyle w:val="7"/>
              <w:spacing w:before="95"/>
              <w:ind w:left="84" w:leftChars="0"/>
              <w:rPr>
                <w:rFonts w:ascii="宋体" w:hAnsi="宋体" w:eastAsia="宋体" w:cs="宋体"/>
                <w:kern w:val="2"/>
                <w:sz w:val="21"/>
                <w:szCs w:val="21"/>
                <w:lang w:val="en-US" w:eastAsia="en-US" w:bidi="ar-SA"/>
              </w:rPr>
            </w:pPr>
            <w:r>
              <w:rPr>
                <w:spacing w:val="-4"/>
              </w:rPr>
              <w:t>33</w:t>
            </w:r>
          </w:p>
        </w:tc>
        <w:tc>
          <w:tcPr>
            <w:tcW w:w="1538" w:type="dxa"/>
            <w:shd w:val="clear" w:color="auto" w:fill="auto"/>
            <w:vAlign w:val="top"/>
          </w:tcPr>
          <w:p w14:paraId="276E967C">
            <w:pPr>
              <w:pStyle w:val="7"/>
              <w:spacing w:before="65" w:line="220" w:lineRule="auto"/>
              <w:ind w:left="340" w:leftChars="0"/>
              <w:rPr>
                <w:rFonts w:ascii="宋体" w:hAnsi="宋体" w:eastAsia="宋体" w:cs="宋体"/>
                <w:kern w:val="2"/>
                <w:sz w:val="21"/>
                <w:szCs w:val="21"/>
                <w:lang w:val="en-US" w:eastAsia="en-US" w:bidi="ar-SA"/>
              </w:rPr>
            </w:pPr>
            <w:r>
              <w:rPr>
                <w:spacing w:val="-3"/>
              </w:rPr>
              <w:t>查处方单</w:t>
            </w:r>
          </w:p>
        </w:tc>
        <w:tc>
          <w:tcPr>
            <w:tcW w:w="6287" w:type="dxa"/>
            <w:shd w:val="clear" w:color="auto" w:fill="auto"/>
            <w:vAlign w:val="top"/>
          </w:tcPr>
          <w:p w14:paraId="59975B8E">
            <w:pPr>
              <w:pStyle w:val="7"/>
              <w:spacing w:before="75" w:line="247" w:lineRule="auto"/>
              <w:ind w:left="22" w:leftChars="0" w:right="19" w:rightChars="0"/>
              <w:jc w:val="both"/>
              <w:rPr>
                <w:rFonts w:ascii="宋体" w:hAnsi="宋体" w:eastAsia="宋体" w:cs="宋体"/>
                <w:kern w:val="2"/>
                <w:sz w:val="21"/>
                <w:szCs w:val="21"/>
                <w:lang w:val="en-US" w:eastAsia="en-US" w:bidi="ar-SA"/>
              </w:rPr>
            </w:pPr>
            <w:r>
              <w:t>支持患者通过手机查询其在医院的处方单，减少医院建设中的硬件投入，减少现场人员和成本；提升患者满意度；第一时间查找到处方；方便获取与保</w:t>
            </w:r>
            <w:r>
              <w:rPr>
                <w:spacing w:val="37"/>
              </w:rPr>
              <w:t>存。</w:t>
            </w:r>
          </w:p>
        </w:tc>
      </w:tr>
      <w:tr w14:paraId="6FB58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8BF8DA5">
            <w:pPr>
              <w:pStyle w:val="7"/>
              <w:spacing w:before="86"/>
              <w:ind w:left="84" w:leftChars="0"/>
              <w:rPr>
                <w:rFonts w:ascii="宋体" w:hAnsi="宋体" w:eastAsia="宋体" w:cs="宋体"/>
                <w:kern w:val="2"/>
                <w:sz w:val="21"/>
                <w:szCs w:val="21"/>
                <w:lang w:val="en-US" w:eastAsia="en-US" w:bidi="ar-SA"/>
              </w:rPr>
            </w:pPr>
            <w:r>
              <w:rPr>
                <w:spacing w:val="-4"/>
              </w:rPr>
              <w:t>34</w:t>
            </w:r>
          </w:p>
        </w:tc>
        <w:tc>
          <w:tcPr>
            <w:tcW w:w="1538" w:type="dxa"/>
            <w:shd w:val="clear" w:color="auto" w:fill="auto"/>
            <w:vAlign w:val="top"/>
          </w:tcPr>
          <w:p w14:paraId="104E59B7">
            <w:pPr>
              <w:pStyle w:val="7"/>
              <w:spacing w:before="65" w:line="219" w:lineRule="auto"/>
              <w:ind w:left="340" w:leftChars="0"/>
              <w:rPr>
                <w:rFonts w:ascii="宋体" w:hAnsi="宋体" w:eastAsia="宋体" w:cs="宋体"/>
                <w:kern w:val="2"/>
                <w:sz w:val="21"/>
                <w:szCs w:val="21"/>
                <w:lang w:val="en-US" w:eastAsia="en-US" w:bidi="ar-SA"/>
              </w:rPr>
            </w:pPr>
            <w:r>
              <w:rPr>
                <w:spacing w:val="2"/>
              </w:rPr>
              <w:t>电子发票</w:t>
            </w:r>
          </w:p>
        </w:tc>
        <w:tc>
          <w:tcPr>
            <w:tcW w:w="6287" w:type="dxa"/>
            <w:shd w:val="clear" w:color="auto" w:fill="auto"/>
            <w:vAlign w:val="top"/>
          </w:tcPr>
          <w:p w14:paraId="110929F1">
            <w:pPr>
              <w:pStyle w:val="7"/>
              <w:spacing w:before="65" w:line="219" w:lineRule="auto"/>
              <w:jc w:val="both"/>
            </w:pPr>
            <w:r>
              <w:rPr>
                <w:spacing w:val="-1"/>
              </w:rPr>
              <w:t>患者可在线查看自己在院所产生费用的电子发票。</w:t>
            </w:r>
          </w:p>
          <w:p w14:paraId="74EE4203">
            <w:pPr>
              <w:pStyle w:val="7"/>
              <w:spacing w:before="41" w:line="196" w:lineRule="auto"/>
              <w:rPr>
                <w:rFonts w:hint="eastAsia" w:ascii="宋体" w:hAnsi="宋体" w:eastAsia="宋体" w:cs="宋体"/>
                <w:kern w:val="2"/>
                <w:sz w:val="21"/>
                <w:szCs w:val="21"/>
                <w:lang w:val="en-US" w:eastAsia="zh-CN" w:bidi="ar-SA"/>
              </w:rPr>
            </w:pPr>
            <w:r>
              <w:rPr>
                <w:color w:val="001020"/>
              </w:rPr>
              <w:t>支持在线申请开票、支持发送至邮箱下载打印</w:t>
            </w:r>
            <w:r>
              <w:rPr>
                <w:rFonts w:hint="eastAsia"/>
                <w:color w:val="001020"/>
                <w:lang w:eastAsia="zh-CN"/>
              </w:rPr>
              <w:t>。</w:t>
            </w:r>
          </w:p>
        </w:tc>
      </w:tr>
      <w:tr w14:paraId="3DCD9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3204AD84">
            <w:pPr>
              <w:pStyle w:val="7"/>
              <w:spacing w:before="117"/>
              <w:ind w:left="84" w:leftChars="0"/>
              <w:rPr>
                <w:rFonts w:ascii="宋体" w:hAnsi="宋体" w:eastAsia="宋体" w:cs="宋体"/>
                <w:kern w:val="2"/>
                <w:sz w:val="21"/>
                <w:szCs w:val="21"/>
                <w:lang w:val="en-US" w:eastAsia="en-US" w:bidi="ar-SA"/>
              </w:rPr>
            </w:pPr>
            <w:r>
              <w:rPr>
                <w:spacing w:val="-4"/>
              </w:rPr>
              <w:t>35</w:t>
            </w:r>
          </w:p>
        </w:tc>
        <w:tc>
          <w:tcPr>
            <w:tcW w:w="1538" w:type="dxa"/>
            <w:shd w:val="clear" w:color="auto" w:fill="auto"/>
            <w:vAlign w:val="top"/>
          </w:tcPr>
          <w:p w14:paraId="4C484902">
            <w:pPr>
              <w:pStyle w:val="7"/>
              <w:spacing w:before="66" w:line="219" w:lineRule="auto"/>
              <w:ind w:left="450" w:leftChars="0"/>
              <w:rPr>
                <w:rFonts w:ascii="宋体" w:hAnsi="宋体" w:eastAsia="宋体" w:cs="宋体"/>
                <w:kern w:val="2"/>
                <w:sz w:val="21"/>
                <w:szCs w:val="21"/>
                <w:lang w:val="en-US" w:eastAsia="en-US" w:bidi="ar-SA"/>
              </w:rPr>
            </w:pPr>
            <w:r>
              <w:rPr>
                <w:spacing w:val="2"/>
              </w:rPr>
              <w:t>当面付</w:t>
            </w:r>
          </w:p>
        </w:tc>
        <w:tc>
          <w:tcPr>
            <w:tcW w:w="6287" w:type="dxa"/>
            <w:shd w:val="clear" w:color="auto" w:fill="auto"/>
            <w:vAlign w:val="top"/>
          </w:tcPr>
          <w:p w14:paraId="7163722F">
            <w:pPr>
              <w:pStyle w:val="7"/>
              <w:spacing w:before="77" w:line="250" w:lineRule="auto"/>
              <w:ind w:left="12" w:leftChars="0" w:firstLine="9" w:firstLineChars="0"/>
              <w:jc w:val="both"/>
              <w:rPr>
                <w:rFonts w:ascii="宋体" w:hAnsi="宋体" w:eastAsia="宋体" w:cs="宋体"/>
                <w:kern w:val="2"/>
                <w:sz w:val="21"/>
                <w:szCs w:val="21"/>
                <w:lang w:val="en-US" w:eastAsia="en-US" w:bidi="ar-SA"/>
              </w:rPr>
            </w:pPr>
            <w:r>
              <w:rPr>
                <w:spacing w:val="-4"/>
              </w:rPr>
              <w:t>患者在医院窗口或自助缴费设备进行缴费时，收费</w:t>
            </w:r>
            <w:r>
              <w:rPr>
                <w:spacing w:val="-7"/>
              </w:rPr>
              <w:t>系统进行收费预结算，(算出医保支付部分、个账支</w:t>
            </w:r>
            <w:r>
              <w:rPr>
                <w:spacing w:val="-3"/>
              </w:rPr>
              <w:t>付部分、个人自费自理部分金额),用户可选择使用</w:t>
            </w:r>
            <w:r>
              <w:rPr>
                <w:spacing w:val="-4"/>
              </w:rPr>
              <w:t>院内收费系统的外接扫码设备，扫描本人支付宝或</w:t>
            </w:r>
            <w:r>
              <w:rPr>
                <w:spacing w:val="-8"/>
              </w:rPr>
              <w:t>微信钱包的付款码</w:t>
            </w:r>
            <w:r>
              <w:rPr>
                <w:color w:val="203040"/>
                <w:spacing w:val="-8"/>
              </w:rPr>
              <w:t>，完成自费自理部分金额的支付。</w:t>
            </w:r>
          </w:p>
        </w:tc>
      </w:tr>
      <w:tr w14:paraId="7C61E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756" w:type="dxa"/>
            <w:shd w:val="clear" w:color="auto" w:fill="auto"/>
            <w:vAlign w:val="top"/>
          </w:tcPr>
          <w:p w14:paraId="520F4010">
            <w:pPr>
              <w:pStyle w:val="7"/>
              <w:spacing w:before="78"/>
              <w:ind w:left="84" w:leftChars="0"/>
              <w:rPr>
                <w:rFonts w:ascii="宋体" w:hAnsi="宋体" w:eastAsia="宋体" w:cs="宋体"/>
                <w:kern w:val="2"/>
                <w:sz w:val="21"/>
                <w:szCs w:val="21"/>
                <w:lang w:val="en-US" w:eastAsia="en-US" w:bidi="ar-SA"/>
              </w:rPr>
            </w:pPr>
            <w:r>
              <w:rPr>
                <w:spacing w:val="-4"/>
              </w:rPr>
              <w:t>36</w:t>
            </w:r>
          </w:p>
        </w:tc>
        <w:tc>
          <w:tcPr>
            <w:tcW w:w="1538" w:type="dxa"/>
            <w:shd w:val="clear" w:color="auto" w:fill="auto"/>
            <w:vAlign w:val="top"/>
          </w:tcPr>
          <w:p w14:paraId="499C5D37">
            <w:pPr>
              <w:pStyle w:val="7"/>
              <w:spacing w:before="38" w:line="220" w:lineRule="auto"/>
              <w:rPr>
                <w:rFonts w:ascii="宋体" w:hAnsi="宋体" w:eastAsia="宋体" w:cs="宋体"/>
                <w:kern w:val="2"/>
                <w:sz w:val="21"/>
                <w:szCs w:val="21"/>
                <w:lang w:val="en-US" w:eastAsia="en-US" w:bidi="ar-SA"/>
              </w:rPr>
            </w:pPr>
            <w:r>
              <w:rPr>
                <w:spacing w:val="1"/>
              </w:rPr>
              <w:t>▲住院登记</w:t>
            </w:r>
          </w:p>
        </w:tc>
        <w:tc>
          <w:tcPr>
            <w:tcW w:w="6287" w:type="dxa"/>
            <w:shd w:val="clear" w:color="auto" w:fill="auto"/>
            <w:vAlign w:val="top"/>
          </w:tcPr>
          <w:p w14:paraId="4634D9A2">
            <w:pPr>
              <w:pStyle w:val="7"/>
              <w:spacing w:before="56" w:line="234" w:lineRule="auto"/>
              <w:ind w:left="90" w:leftChars="0" w:hanging="78" w:firstLineChars="0"/>
              <w:rPr>
                <w:rFonts w:ascii="宋体" w:hAnsi="宋体" w:eastAsia="宋体" w:cs="宋体"/>
                <w:kern w:val="2"/>
                <w:sz w:val="21"/>
                <w:szCs w:val="21"/>
                <w:lang w:val="en-US" w:eastAsia="en-US" w:bidi="ar-SA"/>
              </w:rPr>
            </w:pPr>
            <w:r>
              <w:rPr>
                <w:spacing w:val="-8"/>
              </w:rPr>
              <w:t>支持医生在线开具电子住院证，患者在实际住院前，</w:t>
            </w:r>
            <w:r>
              <w:rPr>
                <w:spacing w:val="-5"/>
              </w:rPr>
              <w:t>进行住院信息登记。</w:t>
            </w:r>
          </w:p>
        </w:tc>
      </w:tr>
      <w:tr w14:paraId="1F913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56" w:type="dxa"/>
            <w:shd w:val="clear" w:color="auto" w:fill="auto"/>
            <w:vAlign w:val="top"/>
          </w:tcPr>
          <w:p w14:paraId="27285FCF">
            <w:pPr>
              <w:pStyle w:val="7"/>
              <w:spacing w:before="79"/>
              <w:ind w:left="84" w:leftChars="0"/>
              <w:rPr>
                <w:rFonts w:ascii="宋体" w:hAnsi="宋体" w:eastAsia="宋体" w:cs="宋体"/>
                <w:kern w:val="2"/>
                <w:sz w:val="21"/>
                <w:szCs w:val="21"/>
                <w:lang w:val="en-US" w:eastAsia="en-US" w:bidi="ar-SA"/>
              </w:rPr>
            </w:pPr>
            <w:r>
              <w:rPr>
                <w:spacing w:val="-4"/>
              </w:rPr>
              <w:t>37</w:t>
            </w:r>
          </w:p>
        </w:tc>
        <w:tc>
          <w:tcPr>
            <w:tcW w:w="1538" w:type="dxa"/>
            <w:shd w:val="clear" w:color="auto" w:fill="auto"/>
            <w:vAlign w:val="top"/>
          </w:tcPr>
          <w:p w14:paraId="6FD11F6E">
            <w:pPr>
              <w:pStyle w:val="7"/>
              <w:spacing w:before="58" w:line="219" w:lineRule="auto"/>
              <w:ind w:left="239" w:leftChars="0"/>
              <w:rPr>
                <w:rFonts w:ascii="宋体" w:hAnsi="宋体" w:eastAsia="宋体" w:cs="宋体"/>
                <w:kern w:val="2"/>
                <w:sz w:val="21"/>
                <w:szCs w:val="21"/>
                <w:lang w:val="en-US" w:eastAsia="en-US" w:bidi="ar-SA"/>
              </w:rPr>
            </w:pPr>
            <w:r>
              <w:rPr>
                <w:spacing w:val="-2"/>
              </w:rPr>
              <w:t>预缴金充值</w:t>
            </w:r>
          </w:p>
        </w:tc>
        <w:tc>
          <w:tcPr>
            <w:tcW w:w="6287" w:type="dxa"/>
            <w:shd w:val="clear" w:color="auto" w:fill="auto"/>
            <w:vAlign w:val="top"/>
          </w:tcPr>
          <w:p w14:paraId="2A957CF2">
            <w:pPr>
              <w:pStyle w:val="7"/>
              <w:spacing w:before="58" w:line="225" w:lineRule="auto"/>
              <w:ind w:left="101" w:leftChars="0" w:right="39" w:rightChars="0" w:hanging="79" w:firstLineChars="0"/>
              <w:rPr>
                <w:rFonts w:ascii="宋体" w:hAnsi="宋体" w:eastAsia="宋体" w:cs="宋体"/>
                <w:kern w:val="2"/>
                <w:sz w:val="21"/>
                <w:szCs w:val="21"/>
                <w:lang w:val="en-US" w:eastAsia="en-US" w:bidi="ar-SA"/>
              </w:rPr>
            </w:pPr>
            <w:r>
              <w:rPr>
                <w:spacing w:val="-1"/>
              </w:rPr>
              <w:t>对医院账号进行在线充值预交金，减轻医院窗口压力，改善就医环境。</w:t>
            </w:r>
          </w:p>
        </w:tc>
      </w:tr>
      <w:tr w14:paraId="73252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8581" w:type="dxa"/>
            <w:gridSpan w:val="3"/>
            <w:shd w:val="clear" w:color="auto" w:fill="auto"/>
            <w:vAlign w:val="center"/>
          </w:tcPr>
          <w:p w14:paraId="4B4D3292">
            <w:pPr>
              <w:pStyle w:val="7"/>
              <w:spacing w:before="58" w:line="225" w:lineRule="auto"/>
              <w:ind w:left="270" w:leftChars="0" w:right="73" w:rightChars="0" w:hanging="209" w:firstLineChars="0"/>
              <w:jc w:val="center"/>
              <w:rPr>
                <w:rFonts w:ascii="宋体" w:hAnsi="宋体" w:eastAsia="宋体" w:cs="宋体"/>
                <w:kern w:val="2"/>
                <w:sz w:val="21"/>
                <w:szCs w:val="21"/>
                <w:lang w:val="en-US" w:eastAsia="en-US" w:bidi="ar-SA"/>
              </w:rPr>
            </w:pPr>
            <w:r>
              <w:rPr>
                <w:spacing w:val="2"/>
              </w:rPr>
              <w:t>药事服务</w:t>
            </w:r>
          </w:p>
        </w:tc>
      </w:tr>
      <w:tr w14:paraId="0F1E9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31B44984">
            <w:pPr>
              <w:pStyle w:val="7"/>
              <w:spacing w:before="79"/>
              <w:ind w:left="84" w:leftChars="0"/>
              <w:rPr>
                <w:rFonts w:hint="default" w:eastAsia="宋体"/>
                <w:spacing w:val="-4"/>
                <w:lang w:val="en-US" w:eastAsia="zh-CN"/>
              </w:rPr>
            </w:pPr>
            <w:r>
              <w:rPr>
                <w:rFonts w:hint="eastAsia"/>
                <w:spacing w:val="-4"/>
                <w:lang w:val="en-US" w:eastAsia="zh-CN"/>
              </w:rPr>
              <w:t>38</w:t>
            </w:r>
          </w:p>
        </w:tc>
        <w:tc>
          <w:tcPr>
            <w:tcW w:w="1538" w:type="dxa"/>
            <w:shd w:val="clear" w:color="auto" w:fill="auto"/>
            <w:vAlign w:val="top"/>
          </w:tcPr>
          <w:p w14:paraId="441C3BD5">
            <w:pPr>
              <w:pStyle w:val="7"/>
              <w:spacing w:before="58" w:line="219" w:lineRule="auto"/>
              <w:rPr>
                <w:spacing w:val="-2"/>
              </w:rPr>
            </w:pPr>
            <w:r>
              <w:rPr>
                <w:color w:val="0000FF"/>
                <w:spacing w:val="3"/>
              </w:rPr>
              <w:t>▲合理用药系</w:t>
            </w:r>
            <w:r>
              <w:rPr>
                <w:color w:val="0000FF"/>
              </w:rPr>
              <w:t>统</w:t>
            </w:r>
          </w:p>
        </w:tc>
        <w:tc>
          <w:tcPr>
            <w:tcW w:w="6287" w:type="dxa"/>
            <w:shd w:val="clear" w:color="auto" w:fill="auto"/>
            <w:vAlign w:val="top"/>
          </w:tcPr>
          <w:p w14:paraId="75C5ED0E">
            <w:pPr>
              <w:pStyle w:val="7"/>
              <w:spacing w:before="68" w:line="219" w:lineRule="auto"/>
              <w:ind w:left="22"/>
              <w:rPr>
                <w:spacing w:val="-1"/>
              </w:rPr>
            </w:pPr>
            <w:r>
              <w:rPr>
                <w:rFonts w:hint="eastAsia"/>
                <w:color w:val="0000FF"/>
                <w:spacing w:val="-1"/>
                <w:lang w:val="en-US" w:eastAsia="zh-CN"/>
              </w:rPr>
              <w:t>使用系统自带</w:t>
            </w:r>
            <w:r>
              <w:rPr>
                <w:color w:val="0000FF"/>
                <w:spacing w:val="-1"/>
              </w:rPr>
              <w:t>合理用药系统，医生开具处方后，</w:t>
            </w:r>
            <w:r>
              <w:rPr>
                <w:color w:val="0000FF"/>
                <w:spacing w:val="1"/>
              </w:rPr>
              <w:t>结合合理用</w:t>
            </w:r>
            <w:r>
              <w:rPr>
                <w:color w:val="0000FF"/>
                <w:spacing w:val="-4"/>
              </w:rPr>
              <w:t>药系统返回的针对非适应症用药、成份重复、治疗</w:t>
            </w:r>
            <w:r>
              <w:rPr>
                <w:color w:val="0000FF"/>
                <w:spacing w:val="1"/>
              </w:rPr>
              <w:t>重复、禁忌用药、副作用、服用方式、配伍禁忌、</w:t>
            </w:r>
            <w:r>
              <w:rPr>
                <w:color w:val="0000FF"/>
                <w:spacing w:val="-1"/>
              </w:rPr>
              <w:t>剂量超出范围、药物冲突、疾病冲突等因素提示，</w:t>
            </w:r>
            <w:r>
              <w:rPr>
                <w:color w:val="0000FF"/>
                <w:spacing w:val="-2"/>
              </w:rPr>
              <w:t>对处方用药进行预警审核，返回相应的结果至平台</w:t>
            </w:r>
            <w:r>
              <w:rPr>
                <w:color w:val="0000FF"/>
                <w:spacing w:val="7"/>
              </w:rPr>
              <w:t>医生端。</w:t>
            </w:r>
          </w:p>
        </w:tc>
      </w:tr>
      <w:tr w14:paraId="7C46D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03D2D0E5">
            <w:pPr>
              <w:pStyle w:val="7"/>
              <w:spacing w:before="100"/>
              <w:ind w:left="85" w:leftChars="0"/>
              <w:rPr>
                <w:rFonts w:ascii="宋体" w:hAnsi="宋体" w:eastAsia="宋体" w:cs="宋体"/>
                <w:color w:val="0000FF"/>
                <w:kern w:val="2"/>
                <w:sz w:val="21"/>
                <w:szCs w:val="21"/>
                <w:lang w:val="en-US" w:eastAsia="en-US" w:bidi="ar-SA"/>
              </w:rPr>
            </w:pPr>
            <w:r>
              <w:rPr>
                <w:color w:val="0000FF"/>
                <w:spacing w:val="-4"/>
              </w:rPr>
              <w:t>39</w:t>
            </w:r>
          </w:p>
        </w:tc>
        <w:tc>
          <w:tcPr>
            <w:tcW w:w="1538" w:type="dxa"/>
            <w:shd w:val="clear" w:color="auto" w:fill="auto"/>
            <w:vAlign w:val="top"/>
          </w:tcPr>
          <w:p w14:paraId="4F8D16E9">
            <w:pPr>
              <w:pStyle w:val="7"/>
              <w:spacing w:before="69" w:line="219" w:lineRule="auto"/>
              <w:ind w:left="340" w:leftChars="0"/>
              <w:rPr>
                <w:rFonts w:ascii="宋体" w:hAnsi="宋体" w:eastAsia="宋体" w:cs="宋体"/>
                <w:color w:val="0000FF"/>
                <w:kern w:val="2"/>
                <w:sz w:val="21"/>
                <w:szCs w:val="21"/>
                <w:lang w:val="en-US" w:eastAsia="en-US" w:bidi="ar-SA"/>
              </w:rPr>
            </w:pPr>
            <w:r>
              <w:rPr>
                <w:color w:val="0000FF"/>
                <w:spacing w:val="-3"/>
              </w:rPr>
              <w:t>药师审方</w:t>
            </w:r>
          </w:p>
        </w:tc>
        <w:tc>
          <w:tcPr>
            <w:tcW w:w="6287" w:type="dxa"/>
            <w:shd w:val="clear" w:color="auto" w:fill="auto"/>
            <w:vAlign w:val="top"/>
          </w:tcPr>
          <w:p w14:paraId="0D58D021">
            <w:pPr>
              <w:pStyle w:val="7"/>
              <w:spacing w:before="61" w:line="251" w:lineRule="auto"/>
              <w:ind w:left="32" w:leftChars="0" w:right="19" w:rightChars="0"/>
              <w:jc w:val="both"/>
              <w:rPr>
                <w:color w:val="0000FF"/>
                <w:spacing w:val="14"/>
                <w:lang w:val="en-US" w:eastAsia="en-US"/>
              </w:rPr>
            </w:pPr>
            <w:r>
              <w:rPr>
                <w:rFonts w:hint="eastAsia"/>
                <w:color w:val="0000FF"/>
                <w:spacing w:val="-1"/>
                <w:lang w:val="en-US" w:eastAsia="zh-CN"/>
              </w:rPr>
              <w:t>使用自带的</w:t>
            </w:r>
            <w:r>
              <w:rPr>
                <w:color w:val="0000FF"/>
                <w:spacing w:val="-1"/>
              </w:rPr>
              <w:t>审方平台，医生在线上开具完处方后，先经院内合理用药审核，合理用药机审通过后，到药</w:t>
            </w:r>
            <w:r>
              <w:rPr>
                <w:color w:val="0000FF"/>
                <w:spacing w:val="1"/>
              </w:rPr>
              <w:t>师人工审方平台进行人工复审，通过接口对接返回</w:t>
            </w:r>
            <w:r>
              <w:rPr>
                <w:color w:val="0000FF"/>
              </w:rPr>
              <w:t>相应的结果给到平台医生端，保障处方审核效率和</w:t>
            </w:r>
            <w:r>
              <w:rPr>
                <w:color w:val="0000FF"/>
                <w:spacing w:val="14"/>
              </w:rPr>
              <w:t>合理合规性。</w:t>
            </w:r>
          </w:p>
        </w:tc>
      </w:tr>
      <w:tr w14:paraId="40EB3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0F335932">
            <w:pPr>
              <w:pStyle w:val="7"/>
              <w:spacing w:before="91"/>
              <w:ind w:left="85" w:leftChars="0"/>
              <w:rPr>
                <w:rFonts w:ascii="宋体" w:hAnsi="宋体" w:eastAsia="宋体" w:cs="宋体"/>
                <w:kern w:val="2"/>
                <w:sz w:val="21"/>
                <w:szCs w:val="21"/>
                <w:lang w:val="en-US" w:eastAsia="en-US" w:bidi="ar-SA"/>
              </w:rPr>
            </w:pPr>
            <w:r>
              <w:rPr>
                <w:spacing w:val="-2"/>
              </w:rPr>
              <w:t>40</w:t>
            </w:r>
          </w:p>
        </w:tc>
        <w:tc>
          <w:tcPr>
            <w:tcW w:w="1538" w:type="dxa"/>
            <w:shd w:val="clear" w:color="auto" w:fill="auto"/>
            <w:vAlign w:val="top"/>
          </w:tcPr>
          <w:p w14:paraId="5213A035">
            <w:pPr>
              <w:pStyle w:val="7"/>
              <w:spacing w:before="51" w:line="220" w:lineRule="auto"/>
              <w:ind w:left="240" w:leftChars="0"/>
              <w:rPr>
                <w:rFonts w:ascii="宋体" w:hAnsi="宋体" w:eastAsia="宋体" w:cs="宋体"/>
                <w:kern w:val="2"/>
                <w:sz w:val="21"/>
                <w:szCs w:val="21"/>
                <w:lang w:val="en-US" w:eastAsia="en-US" w:bidi="ar-SA"/>
              </w:rPr>
            </w:pPr>
            <w:r>
              <w:rPr>
                <w:spacing w:val="1"/>
              </w:rPr>
              <w:t>▲医保购药</w:t>
            </w:r>
          </w:p>
        </w:tc>
        <w:tc>
          <w:tcPr>
            <w:tcW w:w="6287" w:type="dxa"/>
            <w:shd w:val="clear" w:color="auto" w:fill="auto"/>
            <w:vAlign w:val="top"/>
          </w:tcPr>
          <w:p w14:paraId="6318F15F">
            <w:pPr>
              <w:pStyle w:val="7"/>
              <w:spacing w:before="60" w:line="248" w:lineRule="auto"/>
              <w:ind w:left="32" w:leftChars="0" w:firstLine="49" w:firstLineChars="0"/>
              <w:jc w:val="both"/>
              <w:rPr>
                <w:rFonts w:ascii="宋体" w:hAnsi="宋体" w:eastAsia="宋体" w:cs="宋体"/>
                <w:kern w:val="2"/>
                <w:sz w:val="21"/>
                <w:szCs w:val="21"/>
                <w:lang w:val="en-US" w:eastAsia="en-US" w:bidi="ar-SA"/>
              </w:rPr>
            </w:pPr>
            <w:r>
              <w:rPr>
                <w:spacing w:val="4"/>
              </w:rPr>
              <w:t>与院内</w:t>
            </w:r>
            <w:r>
              <w:t>HIS</w:t>
            </w:r>
            <w:r>
              <w:rPr>
                <w:spacing w:val="4"/>
              </w:rPr>
              <w:t>医保清算规则同步，对接省直、市直、</w:t>
            </w:r>
            <w:r>
              <w:rPr>
                <w:spacing w:val="2"/>
              </w:rPr>
              <w:t>市医保线上医保结算，针对新国标医保2.0持卡患</w:t>
            </w:r>
            <w:r>
              <w:t>者，基于省中台医保移动支付医院接入流程完成小</w:t>
            </w:r>
            <w:r>
              <w:rPr>
                <w:spacing w:val="7"/>
              </w:rPr>
              <w:t>程序上医保线上支付。</w:t>
            </w:r>
          </w:p>
        </w:tc>
      </w:tr>
      <w:tr w14:paraId="7FA95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756" w:type="dxa"/>
            <w:shd w:val="clear" w:color="auto" w:fill="auto"/>
            <w:vAlign w:val="top"/>
          </w:tcPr>
          <w:p w14:paraId="1243240E">
            <w:pPr>
              <w:pStyle w:val="7"/>
              <w:spacing w:before="92" w:line="241" w:lineRule="auto"/>
              <w:ind w:left="85" w:leftChars="0"/>
              <w:rPr>
                <w:rFonts w:ascii="宋体" w:hAnsi="宋体" w:eastAsia="宋体" w:cs="宋体"/>
                <w:kern w:val="2"/>
                <w:sz w:val="21"/>
                <w:szCs w:val="21"/>
                <w:lang w:val="en-US" w:eastAsia="en-US" w:bidi="ar-SA"/>
              </w:rPr>
            </w:pPr>
            <w:r>
              <w:rPr>
                <w:spacing w:val="-2"/>
              </w:rPr>
              <w:t>41</w:t>
            </w:r>
          </w:p>
        </w:tc>
        <w:tc>
          <w:tcPr>
            <w:tcW w:w="1538" w:type="dxa"/>
            <w:shd w:val="clear" w:color="auto" w:fill="auto"/>
            <w:vAlign w:val="top"/>
          </w:tcPr>
          <w:p w14:paraId="1BA42A10">
            <w:pPr>
              <w:pStyle w:val="7"/>
              <w:spacing w:before="52" w:line="221" w:lineRule="auto"/>
              <w:ind w:left="340" w:leftChars="0"/>
              <w:rPr>
                <w:rFonts w:ascii="宋体" w:hAnsi="宋体" w:eastAsia="宋体" w:cs="宋体"/>
                <w:kern w:val="2"/>
                <w:sz w:val="21"/>
                <w:szCs w:val="21"/>
                <w:lang w:val="en-US" w:eastAsia="en-US" w:bidi="ar-SA"/>
              </w:rPr>
            </w:pPr>
            <w:r>
              <w:rPr>
                <w:spacing w:val="-2"/>
              </w:rPr>
              <w:t>物流配送</w:t>
            </w:r>
          </w:p>
        </w:tc>
        <w:tc>
          <w:tcPr>
            <w:tcW w:w="6287" w:type="dxa"/>
            <w:shd w:val="clear" w:color="auto" w:fill="auto"/>
            <w:vAlign w:val="top"/>
          </w:tcPr>
          <w:p w14:paraId="7AD616D8">
            <w:pPr>
              <w:pStyle w:val="7"/>
              <w:spacing w:before="59" w:line="233" w:lineRule="auto"/>
              <w:ind w:left="121" w:leftChars="0" w:right="32" w:rightChars="0" w:hanging="89" w:firstLineChars="0"/>
              <w:rPr>
                <w:rFonts w:ascii="宋体" w:hAnsi="宋体" w:eastAsia="宋体" w:cs="宋体"/>
                <w:kern w:val="2"/>
                <w:sz w:val="21"/>
                <w:szCs w:val="21"/>
                <w:lang w:val="en-US" w:eastAsia="en-US" w:bidi="ar-SA"/>
              </w:rPr>
            </w:pPr>
            <w:r>
              <w:t>患者填写收货地址，网上购药、药品送药上门；并</w:t>
            </w:r>
            <w:r>
              <w:rPr>
                <w:spacing w:val="-1"/>
              </w:rPr>
              <w:t>提供在物流保价、发货通知、货到付款等服务</w:t>
            </w:r>
          </w:p>
        </w:tc>
      </w:tr>
      <w:tr w14:paraId="48E6C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756" w:type="dxa"/>
            <w:shd w:val="clear" w:color="auto" w:fill="auto"/>
            <w:vAlign w:val="top"/>
          </w:tcPr>
          <w:p w14:paraId="7982912E">
            <w:pPr>
              <w:pStyle w:val="7"/>
              <w:spacing w:before="72" w:line="241" w:lineRule="auto"/>
              <w:ind w:left="85" w:leftChars="0"/>
              <w:rPr>
                <w:rFonts w:ascii="宋体" w:hAnsi="宋体" w:eastAsia="宋体" w:cs="宋体"/>
                <w:kern w:val="2"/>
                <w:sz w:val="21"/>
                <w:szCs w:val="21"/>
                <w:lang w:val="en-US" w:eastAsia="en-US" w:bidi="ar-SA"/>
              </w:rPr>
            </w:pPr>
            <w:r>
              <w:rPr>
                <w:spacing w:val="-2"/>
              </w:rPr>
              <w:t>42</w:t>
            </w:r>
          </w:p>
        </w:tc>
        <w:tc>
          <w:tcPr>
            <w:tcW w:w="1538" w:type="dxa"/>
            <w:shd w:val="clear" w:color="auto" w:fill="auto"/>
            <w:vAlign w:val="top"/>
          </w:tcPr>
          <w:p w14:paraId="15385A17">
            <w:pPr>
              <w:pStyle w:val="7"/>
              <w:spacing w:before="52" w:line="220" w:lineRule="auto"/>
              <w:ind w:left="340" w:leftChars="0"/>
              <w:rPr>
                <w:rFonts w:ascii="宋体" w:hAnsi="宋体" w:eastAsia="宋体" w:cs="宋体"/>
                <w:kern w:val="2"/>
                <w:sz w:val="21"/>
                <w:szCs w:val="21"/>
                <w:lang w:val="en-US" w:eastAsia="en-US" w:bidi="ar-SA"/>
              </w:rPr>
            </w:pPr>
            <w:r>
              <w:rPr>
                <w:spacing w:val="2"/>
              </w:rPr>
              <w:t>到院自取</w:t>
            </w:r>
          </w:p>
        </w:tc>
        <w:tc>
          <w:tcPr>
            <w:tcW w:w="6287" w:type="dxa"/>
            <w:shd w:val="clear" w:color="auto" w:fill="auto"/>
            <w:vAlign w:val="top"/>
          </w:tcPr>
          <w:p w14:paraId="6152049E">
            <w:pPr>
              <w:pStyle w:val="7"/>
              <w:spacing w:before="61" w:line="232" w:lineRule="auto"/>
              <w:ind w:left="81" w:leftChars="0" w:right="31" w:rightChars="0" w:hanging="49" w:firstLineChars="0"/>
              <w:rPr>
                <w:rFonts w:ascii="宋体" w:hAnsi="宋体" w:eastAsia="宋体" w:cs="宋体"/>
                <w:kern w:val="2"/>
                <w:sz w:val="21"/>
                <w:szCs w:val="21"/>
                <w:lang w:val="en-US" w:eastAsia="en-US" w:bidi="ar-SA"/>
              </w:rPr>
            </w:pPr>
            <w:r>
              <w:t>患者可自由到门诊取药，对接门诊报道机、发药取</w:t>
            </w:r>
            <w:r>
              <w:rPr>
                <w:spacing w:val="3"/>
              </w:rPr>
              <w:t>药系统</w:t>
            </w:r>
          </w:p>
        </w:tc>
      </w:tr>
      <w:tr w14:paraId="642E7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5BF3B28D">
            <w:pPr>
              <w:pStyle w:val="7"/>
              <w:spacing w:before="93"/>
              <w:ind w:left="85" w:leftChars="0"/>
              <w:rPr>
                <w:rFonts w:ascii="宋体" w:hAnsi="宋体" w:eastAsia="宋体" w:cs="宋体"/>
                <w:kern w:val="2"/>
                <w:sz w:val="21"/>
                <w:szCs w:val="21"/>
                <w:lang w:val="en-US" w:eastAsia="en-US" w:bidi="ar-SA"/>
              </w:rPr>
            </w:pPr>
            <w:r>
              <w:rPr>
                <w:spacing w:val="-2"/>
              </w:rPr>
              <w:t>43</w:t>
            </w:r>
          </w:p>
        </w:tc>
        <w:tc>
          <w:tcPr>
            <w:tcW w:w="1538" w:type="dxa"/>
            <w:shd w:val="clear" w:color="auto" w:fill="auto"/>
            <w:vAlign w:val="top"/>
          </w:tcPr>
          <w:p w14:paraId="63AC02E6">
            <w:pPr>
              <w:pStyle w:val="7"/>
              <w:spacing w:before="52" w:line="219" w:lineRule="auto"/>
              <w:ind w:left="130" w:leftChars="0"/>
              <w:rPr>
                <w:rFonts w:ascii="宋体" w:hAnsi="宋体" w:eastAsia="宋体" w:cs="宋体"/>
                <w:kern w:val="2"/>
                <w:sz w:val="21"/>
                <w:szCs w:val="21"/>
                <w:lang w:val="en-US" w:eastAsia="en-US" w:bidi="ar-SA"/>
              </w:rPr>
            </w:pPr>
            <w:r>
              <w:rPr>
                <w:spacing w:val="1"/>
              </w:rPr>
              <w:t>订单状态跟踪</w:t>
            </w:r>
          </w:p>
        </w:tc>
        <w:tc>
          <w:tcPr>
            <w:tcW w:w="6287" w:type="dxa"/>
            <w:shd w:val="clear" w:color="auto" w:fill="auto"/>
            <w:vAlign w:val="top"/>
          </w:tcPr>
          <w:p w14:paraId="20381050">
            <w:pPr>
              <w:pStyle w:val="7"/>
              <w:spacing w:before="42" w:line="219" w:lineRule="auto"/>
              <w:ind w:left="122" w:leftChars="0"/>
              <w:rPr>
                <w:rFonts w:hint="default" w:ascii="宋体" w:hAnsi="宋体" w:eastAsia="宋体" w:cs="宋体"/>
                <w:kern w:val="2"/>
                <w:sz w:val="21"/>
                <w:szCs w:val="21"/>
                <w:lang w:val="en-US" w:eastAsia="zh-CN" w:bidi="ar-SA"/>
              </w:rPr>
            </w:pPr>
            <w:r>
              <w:t>实现患者自主查询当前药品订单状态</w:t>
            </w:r>
            <w:r>
              <w:rPr>
                <w:rFonts w:hint="eastAsia"/>
                <w:lang w:eastAsia="zh-CN"/>
              </w:rPr>
              <w:t>，</w:t>
            </w:r>
            <w:r>
              <w:rPr>
                <w:rFonts w:hint="eastAsia"/>
                <w:color w:val="0000FF"/>
                <w:lang w:val="en-US" w:eastAsia="zh-CN"/>
              </w:rPr>
              <w:t>配合EMS药品快递业务实现药品配药、发药状态等环节信息的同步，保障药品配送业务闭环管理。</w:t>
            </w:r>
          </w:p>
        </w:tc>
      </w:tr>
      <w:tr w14:paraId="5554B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756" w:type="dxa"/>
            <w:shd w:val="clear" w:color="auto" w:fill="auto"/>
            <w:vAlign w:val="top"/>
          </w:tcPr>
          <w:p w14:paraId="09705538">
            <w:pPr>
              <w:pStyle w:val="7"/>
              <w:spacing w:before="113" w:line="241" w:lineRule="auto"/>
              <w:ind w:left="85" w:leftChars="0"/>
              <w:rPr>
                <w:rFonts w:ascii="宋体" w:hAnsi="宋体" w:eastAsia="宋体" w:cs="宋体"/>
                <w:kern w:val="2"/>
                <w:sz w:val="21"/>
                <w:szCs w:val="21"/>
                <w:lang w:val="en-US" w:eastAsia="en-US" w:bidi="ar-SA"/>
              </w:rPr>
            </w:pPr>
            <w:r>
              <w:rPr>
                <w:spacing w:val="-2"/>
              </w:rPr>
              <w:t>44</w:t>
            </w:r>
          </w:p>
        </w:tc>
        <w:tc>
          <w:tcPr>
            <w:tcW w:w="1538" w:type="dxa"/>
            <w:shd w:val="clear" w:color="auto" w:fill="auto"/>
            <w:vAlign w:val="top"/>
          </w:tcPr>
          <w:p w14:paraId="3C820117">
            <w:pPr>
              <w:pStyle w:val="7"/>
              <w:spacing w:before="62" w:line="219" w:lineRule="auto"/>
              <w:ind w:left="130" w:leftChars="0"/>
              <w:rPr>
                <w:rFonts w:ascii="宋体" w:hAnsi="宋体" w:eastAsia="宋体" w:cs="宋体"/>
                <w:kern w:val="2"/>
                <w:sz w:val="21"/>
                <w:szCs w:val="21"/>
                <w:lang w:val="en-US" w:eastAsia="en-US" w:bidi="ar-SA"/>
              </w:rPr>
            </w:pPr>
            <w:r>
              <w:rPr>
                <w:spacing w:val="2"/>
              </w:rPr>
              <w:t>物流信息查询</w:t>
            </w:r>
          </w:p>
        </w:tc>
        <w:tc>
          <w:tcPr>
            <w:tcW w:w="6287" w:type="dxa"/>
            <w:shd w:val="clear" w:color="auto" w:fill="auto"/>
            <w:vAlign w:val="top"/>
          </w:tcPr>
          <w:p w14:paraId="0F1C0893">
            <w:pPr>
              <w:pStyle w:val="7"/>
              <w:spacing w:before="62" w:line="219" w:lineRule="auto"/>
              <w:ind w:left="122" w:leftChars="0"/>
              <w:rPr>
                <w:rFonts w:hint="default" w:ascii="宋体" w:hAnsi="宋体" w:eastAsia="宋体" w:cs="宋体"/>
                <w:kern w:val="2"/>
                <w:sz w:val="21"/>
                <w:szCs w:val="21"/>
                <w:lang w:val="en-US" w:eastAsia="zh-CN" w:bidi="ar-SA"/>
              </w:rPr>
            </w:pPr>
            <w:r>
              <w:rPr>
                <w:spacing w:val="1"/>
              </w:rPr>
              <w:t>物流配送的订单支持物流信息查询</w:t>
            </w:r>
            <w:r>
              <w:rPr>
                <w:rFonts w:hint="eastAsia"/>
                <w:spacing w:val="1"/>
                <w:lang w:eastAsia="zh-CN"/>
              </w:rPr>
              <w:t>，</w:t>
            </w:r>
          </w:p>
        </w:tc>
      </w:tr>
      <w:tr w14:paraId="3FCE6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756" w:type="dxa"/>
            <w:shd w:val="clear" w:color="auto" w:fill="auto"/>
            <w:vAlign w:val="top"/>
          </w:tcPr>
          <w:p w14:paraId="7A0F75A5">
            <w:pPr>
              <w:pStyle w:val="7"/>
              <w:spacing w:before="93"/>
              <w:ind w:left="85" w:leftChars="0"/>
              <w:rPr>
                <w:rFonts w:ascii="宋体" w:hAnsi="宋体" w:eastAsia="宋体" w:cs="宋体"/>
                <w:kern w:val="2"/>
                <w:sz w:val="21"/>
                <w:szCs w:val="21"/>
                <w:lang w:val="en-US" w:eastAsia="en-US" w:bidi="ar-SA"/>
              </w:rPr>
            </w:pPr>
            <w:r>
              <w:rPr>
                <w:spacing w:val="-2"/>
              </w:rPr>
              <w:t>45</w:t>
            </w:r>
          </w:p>
        </w:tc>
        <w:tc>
          <w:tcPr>
            <w:tcW w:w="1538" w:type="dxa"/>
            <w:shd w:val="clear" w:color="auto" w:fill="auto"/>
            <w:vAlign w:val="top"/>
          </w:tcPr>
          <w:p w14:paraId="7B94ECCD">
            <w:pPr>
              <w:pStyle w:val="7"/>
              <w:spacing w:before="51" w:line="219" w:lineRule="auto"/>
              <w:ind w:left="130" w:leftChars="0"/>
              <w:rPr>
                <w:rFonts w:ascii="宋体" w:hAnsi="宋体" w:eastAsia="宋体" w:cs="宋体"/>
                <w:kern w:val="2"/>
                <w:sz w:val="21"/>
                <w:szCs w:val="21"/>
                <w:lang w:val="en-US" w:eastAsia="en-US" w:bidi="ar-SA"/>
              </w:rPr>
            </w:pPr>
            <w:r>
              <w:rPr>
                <w:spacing w:val="-2"/>
              </w:rPr>
              <w:t>修改收货地址</w:t>
            </w:r>
          </w:p>
        </w:tc>
        <w:tc>
          <w:tcPr>
            <w:tcW w:w="6287" w:type="dxa"/>
            <w:shd w:val="clear" w:color="auto" w:fill="auto"/>
            <w:vAlign w:val="top"/>
          </w:tcPr>
          <w:p w14:paraId="3F1B5E72">
            <w:pPr>
              <w:pStyle w:val="7"/>
              <w:spacing w:before="62" w:line="219" w:lineRule="auto"/>
              <w:ind w:left="122" w:leftChars="0"/>
              <w:rPr>
                <w:rFonts w:ascii="宋体" w:hAnsi="宋体" w:eastAsia="宋体" w:cs="宋体"/>
                <w:kern w:val="2"/>
                <w:sz w:val="21"/>
                <w:szCs w:val="21"/>
                <w:lang w:val="en-US" w:eastAsia="en-US" w:bidi="ar-SA"/>
              </w:rPr>
            </w:pPr>
            <w:r>
              <w:rPr>
                <w:spacing w:val="-1"/>
              </w:rPr>
              <w:t>支持患者对未发药订单，在线修改一次地址</w:t>
            </w:r>
          </w:p>
        </w:tc>
      </w:tr>
      <w:tr w14:paraId="5E0C6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266A553">
            <w:pPr>
              <w:pStyle w:val="7"/>
              <w:spacing w:before="94"/>
              <w:ind w:left="85" w:leftChars="0"/>
              <w:rPr>
                <w:rFonts w:ascii="宋体" w:hAnsi="宋体" w:eastAsia="宋体" w:cs="宋体"/>
                <w:kern w:val="2"/>
                <w:sz w:val="21"/>
                <w:szCs w:val="21"/>
                <w:lang w:val="en-US" w:eastAsia="en-US" w:bidi="ar-SA"/>
              </w:rPr>
            </w:pPr>
            <w:r>
              <w:rPr>
                <w:spacing w:val="-2"/>
              </w:rPr>
              <w:t>46</w:t>
            </w:r>
          </w:p>
        </w:tc>
        <w:tc>
          <w:tcPr>
            <w:tcW w:w="1538" w:type="dxa"/>
            <w:shd w:val="clear" w:color="auto" w:fill="auto"/>
            <w:vAlign w:val="top"/>
          </w:tcPr>
          <w:p w14:paraId="27651431">
            <w:pPr>
              <w:pStyle w:val="7"/>
              <w:spacing w:before="54" w:line="220" w:lineRule="auto"/>
              <w:ind w:left="130" w:leftChars="0"/>
              <w:rPr>
                <w:rFonts w:ascii="宋体" w:hAnsi="宋体" w:eastAsia="宋体" w:cs="宋体"/>
                <w:kern w:val="2"/>
                <w:sz w:val="21"/>
                <w:szCs w:val="21"/>
                <w:lang w:val="en-US" w:eastAsia="en-US" w:bidi="ar-SA"/>
              </w:rPr>
            </w:pPr>
            <w:r>
              <w:rPr>
                <w:spacing w:val="2"/>
              </w:rPr>
              <w:t>智能用药指导</w:t>
            </w:r>
          </w:p>
        </w:tc>
        <w:tc>
          <w:tcPr>
            <w:tcW w:w="6287" w:type="dxa"/>
            <w:shd w:val="clear" w:color="auto" w:fill="auto"/>
            <w:vAlign w:val="top"/>
          </w:tcPr>
          <w:p w14:paraId="77D2FBDC">
            <w:pPr>
              <w:pStyle w:val="7"/>
              <w:spacing w:before="50" w:line="248" w:lineRule="auto"/>
              <w:ind w:left="32" w:leftChars="0" w:right="28" w:rightChars="0"/>
              <w:jc w:val="both"/>
              <w:rPr>
                <w:rFonts w:ascii="宋体" w:hAnsi="宋体" w:eastAsia="宋体" w:cs="宋体"/>
                <w:kern w:val="2"/>
                <w:sz w:val="21"/>
                <w:szCs w:val="21"/>
                <w:lang w:val="en-US" w:eastAsia="en-US" w:bidi="ar-SA"/>
              </w:rPr>
            </w:pPr>
            <w:r>
              <w:t>提供丰富的用药知识库，根据处方信息为患者生产智能用药方案，提供药品说明、用药禁忌、不良反</w:t>
            </w:r>
            <w:r>
              <w:rPr>
                <w:spacing w:val="-1"/>
              </w:rPr>
              <w:t>应、用药知识等信息，帮助患者科学用药，消除服</w:t>
            </w:r>
            <w:r>
              <w:rPr>
                <w:spacing w:val="13"/>
              </w:rPr>
              <w:t>药困惑。</w:t>
            </w:r>
          </w:p>
        </w:tc>
      </w:tr>
      <w:tr w14:paraId="56F61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C8B07BA">
            <w:pPr>
              <w:pStyle w:val="7"/>
              <w:spacing w:before="95"/>
              <w:ind w:left="85" w:leftChars="0"/>
              <w:rPr>
                <w:rFonts w:ascii="宋体" w:hAnsi="宋体" w:eastAsia="宋体" w:cs="宋体"/>
                <w:kern w:val="2"/>
                <w:sz w:val="21"/>
                <w:szCs w:val="21"/>
                <w:lang w:val="en-US" w:eastAsia="en-US" w:bidi="ar-SA"/>
              </w:rPr>
            </w:pPr>
            <w:r>
              <w:rPr>
                <w:spacing w:val="-2"/>
              </w:rPr>
              <w:t>47</w:t>
            </w:r>
          </w:p>
        </w:tc>
        <w:tc>
          <w:tcPr>
            <w:tcW w:w="1538" w:type="dxa"/>
            <w:shd w:val="clear" w:color="auto" w:fill="auto"/>
            <w:vAlign w:val="top"/>
          </w:tcPr>
          <w:p w14:paraId="4AFE5DE1">
            <w:pPr>
              <w:pStyle w:val="7"/>
              <w:spacing w:before="64" w:line="219" w:lineRule="auto"/>
              <w:ind w:left="340" w:leftChars="0"/>
              <w:rPr>
                <w:rFonts w:ascii="宋体" w:hAnsi="宋体" w:eastAsia="宋体" w:cs="宋体"/>
                <w:kern w:val="2"/>
                <w:sz w:val="21"/>
                <w:szCs w:val="21"/>
                <w:lang w:val="en-US" w:eastAsia="en-US" w:bidi="ar-SA"/>
              </w:rPr>
            </w:pPr>
            <w:r>
              <w:rPr>
                <w:spacing w:val="5"/>
              </w:rPr>
              <w:t>用药说明</w:t>
            </w:r>
          </w:p>
        </w:tc>
        <w:tc>
          <w:tcPr>
            <w:tcW w:w="6287" w:type="dxa"/>
            <w:shd w:val="clear" w:color="auto" w:fill="auto"/>
            <w:vAlign w:val="top"/>
          </w:tcPr>
          <w:p w14:paraId="530740E5">
            <w:pPr>
              <w:pStyle w:val="7"/>
              <w:spacing w:before="63" w:line="242" w:lineRule="auto"/>
              <w:ind w:left="32" w:leftChars="0" w:right="31" w:rightChars="0"/>
              <w:jc w:val="both"/>
              <w:rPr>
                <w:rFonts w:ascii="宋体" w:hAnsi="宋体" w:eastAsia="宋体" w:cs="宋体"/>
                <w:kern w:val="2"/>
                <w:sz w:val="21"/>
                <w:szCs w:val="21"/>
                <w:lang w:val="en-US" w:eastAsia="en-US" w:bidi="ar-SA"/>
              </w:rPr>
            </w:pPr>
            <w:r>
              <w:rPr>
                <w:spacing w:val="-1"/>
              </w:rPr>
              <w:t>购药订单签收后，平台推送用药说明，点击后跳转</w:t>
            </w:r>
            <w:r>
              <w:t>用药说明页，查看详细用药信息，同时可配置药师</w:t>
            </w:r>
            <w:r>
              <w:rPr>
                <w:spacing w:val="10"/>
              </w:rPr>
              <w:t>门诊链接入口。</w:t>
            </w:r>
          </w:p>
        </w:tc>
      </w:tr>
      <w:tr w14:paraId="392E3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756" w:type="dxa"/>
            <w:shd w:val="clear" w:color="auto" w:fill="auto"/>
            <w:vAlign w:val="top"/>
          </w:tcPr>
          <w:p w14:paraId="6FD4A52C">
            <w:pPr>
              <w:pStyle w:val="7"/>
              <w:spacing w:before="104"/>
              <w:ind w:left="88" w:leftChars="0"/>
              <w:rPr>
                <w:rFonts w:ascii="宋体" w:hAnsi="宋体" w:eastAsia="宋体" w:cs="宋体"/>
                <w:kern w:val="2"/>
                <w:sz w:val="21"/>
                <w:szCs w:val="21"/>
                <w:lang w:val="en-US" w:eastAsia="en-US" w:bidi="ar-SA"/>
              </w:rPr>
            </w:pPr>
            <w:r>
              <w:rPr>
                <w:b/>
                <w:bCs/>
                <w:spacing w:val="-5"/>
              </w:rPr>
              <w:t>48</w:t>
            </w:r>
          </w:p>
        </w:tc>
        <w:tc>
          <w:tcPr>
            <w:tcW w:w="1538" w:type="dxa"/>
            <w:shd w:val="clear" w:color="auto" w:fill="auto"/>
            <w:vAlign w:val="top"/>
          </w:tcPr>
          <w:p w14:paraId="68B4D773">
            <w:pPr>
              <w:pStyle w:val="7"/>
              <w:spacing w:before="66" w:line="220" w:lineRule="auto"/>
              <w:ind w:left="340" w:leftChars="0"/>
              <w:rPr>
                <w:rFonts w:ascii="宋体" w:hAnsi="宋体" w:eastAsia="宋体" w:cs="宋体"/>
                <w:kern w:val="2"/>
                <w:sz w:val="21"/>
                <w:szCs w:val="21"/>
                <w:lang w:val="en-US" w:eastAsia="en-US" w:bidi="ar-SA"/>
              </w:rPr>
            </w:pPr>
            <w:r>
              <w:rPr>
                <w:spacing w:val="-2"/>
              </w:rPr>
              <w:t>服药打卡</w:t>
            </w:r>
          </w:p>
        </w:tc>
        <w:tc>
          <w:tcPr>
            <w:tcW w:w="6287" w:type="dxa"/>
            <w:shd w:val="clear" w:color="auto" w:fill="auto"/>
            <w:vAlign w:val="top"/>
          </w:tcPr>
          <w:p w14:paraId="59DA649B">
            <w:pPr>
              <w:pStyle w:val="7"/>
              <w:spacing w:before="74" w:line="231" w:lineRule="auto"/>
              <w:ind w:left="121" w:leftChars="0" w:right="32" w:rightChars="0" w:hanging="89" w:firstLineChars="0"/>
              <w:rPr>
                <w:rFonts w:ascii="宋体" w:hAnsi="宋体" w:eastAsia="宋体" w:cs="宋体"/>
                <w:kern w:val="2"/>
                <w:sz w:val="21"/>
                <w:szCs w:val="21"/>
                <w:lang w:val="en-US" w:eastAsia="en-US" w:bidi="ar-SA"/>
              </w:rPr>
            </w:pPr>
            <w:r>
              <w:t>患者可在相应的服药时间段收到服药打卡信息，警</w:t>
            </w:r>
            <w:r>
              <w:rPr>
                <w:spacing w:val="-1"/>
              </w:rPr>
              <w:t>醒每天准时服药的良好习惯。</w:t>
            </w:r>
          </w:p>
        </w:tc>
      </w:tr>
      <w:tr w14:paraId="20DD9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81" w:type="dxa"/>
            <w:gridSpan w:val="3"/>
            <w:shd w:val="clear" w:color="auto" w:fill="auto"/>
            <w:vAlign w:val="center"/>
          </w:tcPr>
          <w:p w14:paraId="77BFA1C7">
            <w:pPr>
              <w:pStyle w:val="7"/>
              <w:spacing w:before="58" w:line="225" w:lineRule="auto"/>
              <w:ind w:left="270" w:leftChars="0" w:right="73" w:rightChars="0" w:hanging="209" w:firstLineChars="0"/>
              <w:jc w:val="center"/>
              <w:rPr>
                <w:rFonts w:ascii="宋体" w:hAnsi="宋体" w:eastAsia="宋体" w:cs="宋体"/>
                <w:kern w:val="2"/>
                <w:sz w:val="21"/>
                <w:szCs w:val="21"/>
                <w:lang w:val="en-US" w:eastAsia="en-US" w:bidi="ar-SA"/>
              </w:rPr>
            </w:pPr>
            <w:r>
              <w:rPr>
                <w:spacing w:val="-2"/>
              </w:rPr>
              <w:t>通用服务</w:t>
            </w:r>
          </w:p>
        </w:tc>
      </w:tr>
      <w:tr w14:paraId="448CC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6" w:type="dxa"/>
            <w:shd w:val="clear" w:color="auto" w:fill="auto"/>
            <w:vAlign w:val="top"/>
          </w:tcPr>
          <w:p w14:paraId="033560B3">
            <w:pPr>
              <w:pStyle w:val="7"/>
              <w:spacing w:before="84"/>
              <w:ind w:left="88" w:leftChars="0"/>
              <w:rPr>
                <w:rFonts w:ascii="宋体" w:hAnsi="宋体" w:eastAsia="宋体" w:cs="宋体"/>
                <w:kern w:val="2"/>
                <w:sz w:val="21"/>
                <w:szCs w:val="21"/>
                <w:lang w:val="en-US" w:eastAsia="en-US" w:bidi="ar-SA"/>
              </w:rPr>
            </w:pPr>
            <w:r>
              <w:rPr>
                <w:b/>
                <w:bCs/>
                <w:spacing w:val="-5"/>
              </w:rPr>
              <w:t>49</w:t>
            </w:r>
          </w:p>
        </w:tc>
        <w:tc>
          <w:tcPr>
            <w:tcW w:w="1538" w:type="dxa"/>
            <w:shd w:val="clear" w:color="auto" w:fill="auto"/>
            <w:vAlign w:val="top"/>
          </w:tcPr>
          <w:p w14:paraId="68005887">
            <w:pPr>
              <w:pStyle w:val="7"/>
              <w:spacing w:before="56" w:line="220" w:lineRule="auto"/>
              <w:ind w:left="340" w:leftChars="0"/>
              <w:rPr>
                <w:rFonts w:ascii="宋体" w:hAnsi="宋体" w:eastAsia="宋体" w:cs="宋体"/>
                <w:kern w:val="2"/>
                <w:sz w:val="21"/>
                <w:szCs w:val="21"/>
                <w:lang w:val="en-US" w:eastAsia="en-US" w:bidi="ar-SA"/>
              </w:rPr>
            </w:pPr>
            <w:r>
              <w:rPr>
                <w:spacing w:val="3"/>
              </w:rPr>
              <w:t>消息中心</w:t>
            </w:r>
          </w:p>
        </w:tc>
        <w:tc>
          <w:tcPr>
            <w:tcW w:w="6287" w:type="dxa"/>
            <w:shd w:val="clear" w:color="auto" w:fill="auto"/>
            <w:vAlign w:val="top"/>
          </w:tcPr>
          <w:p w14:paraId="00201548">
            <w:pPr>
              <w:pStyle w:val="7"/>
              <w:spacing w:before="33" w:line="218" w:lineRule="auto"/>
              <w:ind w:left="32" w:leftChars="0"/>
              <w:rPr>
                <w:rFonts w:ascii="宋体" w:hAnsi="宋体" w:eastAsia="宋体" w:cs="宋体"/>
                <w:kern w:val="2"/>
                <w:sz w:val="21"/>
                <w:szCs w:val="21"/>
                <w:lang w:val="en-US" w:eastAsia="en-US" w:bidi="ar-SA"/>
              </w:rPr>
            </w:pPr>
            <w:r>
              <w:t>以短信、推送等方式对必要的消息向患者进行告知</w:t>
            </w:r>
          </w:p>
        </w:tc>
      </w:tr>
      <w:tr w14:paraId="390FA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0507196B">
            <w:pPr>
              <w:pStyle w:val="7"/>
              <w:spacing w:before="107"/>
              <w:ind w:left="85" w:leftChars="0"/>
              <w:rPr>
                <w:rFonts w:ascii="宋体" w:hAnsi="宋体" w:eastAsia="宋体" w:cs="宋体"/>
                <w:kern w:val="2"/>
                <w:sz w:val="21"/>
                <w:szCs w:val="21"/>
                <w:lang w:val="en-US" w:eastAsia="en-US" w:bidi="ar-SA"/>
              </w:rPr>
            </w:pPr>
            <w:r>
              <w:rPr>
                <w:spacing w:val="-4"/>
              </w:rPr>
              <w:t>50</w:t>
            </w:r>
          </w:p>
        </w:tc>
        <w:tc>
          <w:tcPr>
            <w:tcW w:w="1538" w:type="dxa"/>
            <w:shd w:val="clear" w:color="auto" w:fill="auto"/>
            <w:vAlign w:val="top"/>
          </w:tcPr>
          <w:p w14:paraId="5FC34AEC">
            <w:pPr>
              <w:pStyle w:val="7"/>
              <w:spacing w:before="66" w:line="219" w:lineRule="auto"/>
              <w:ind w:left="240" w:leftChars="0"/>
              <w:rPr>
                <w:rFonts w:ascii="宋体" w:hAnsi="宋体" w:eastAsia="宋体" w:cs="宋体"/>
                <w:kern w:val="2"/>
                <w:sz w:val="21"/>
                <w:szCs w:val="21"/>
                <w:lang w:val="en-US" w:eastAsia="en-US" w:bidi="ar-SA"/>
              </w:rPr>
            </w:pPr>
            <w:r>
              <w:rPr>
                <w:spacing w:val="-2"/>
              </w:rPr>
              <w:t>就诊人管理</w:t>
            </w:r>
          </w:p>
        </w:tc>
        <w:tc>
          <w:tcPr>
            <w:tcW w:w="6287" w:type="dxa"/>
            <w:shd w:val="clear" w:color="auto" w:fill="auto"/>
            <w:vAlign w:val="top"/>
          </w:tcPr>
          <w:p w14:paraId="6362EA64">
            <w:pPr>
              <w:pStyle w:val="7"/>
              <w:spacing w:before="46" w:line="247" w:lineRule="auto"/>
              <w:ind w:left="32" w:leftChars="0"/>
              <w:jc w:val="both"/>
              <w:rPr>
                <w:rFonts w:hint="eastAsia" w:ascii="宋体" w:hAnsi="宋体" w:eastAsia="宋体" w:cs="宋体"/>
                <w:kern w:val="2"/>
                <w:sz w:val="21"/>
                <w:szCs w:val="21"/>
                <w:lang w:val="en-US" w:eastAsia="zh-CN" w:bidi="ar-SA"/>
              </w:rPr>
            </w:pPr>
            <w:r>
              <w:rPr>
                <w:spacing w:val="-4"/>
              </w:rPr>
              <w:t>用户可添加相关的就诊人，一个注册用户最多能添</w:t>
            </w:r>
            <w:r>
              <w:rPr>
                <w:spacing w:val="1"/>
              </w:rPr>
              <w:t>加五个就诊人，添加时需选择就诊人与本人关系、</w:t>
            </w:r>
            <w:r>
              <w:rPr>
                <w:spacing w:val="3"/>
              </w:rPr>
              <w:t>就诊人姓名、身份证号码、手机号码</w:t>
            </w:r>
            <w:r>
              <w:rPr>
                <w:rFonts w:hint="eastAsia"/>
                <w:spacing w:val="3"/>
                <w:lang w:eastAsia="zh-CN"/>
              </w:rPr>
              <w:t>。</w:t>
            </w:r>
          </w:p>
        </w:tc>
      </w:tr>
      <w:tr w14:paraId="27FEC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756" w:type="dxa"/>
            <w:shd w:val="clear" w:color="auto" w:fill="auto"/>
            <w:vAlign w:val="top"/>
          </w:tcPr>
          <w:p w14:paraId="2F6E47D6">
            <w:pPr>
              <w:pStyle w:val="7"/>
              <w:spacing w:before="108"/>
              <w:ind w:left="85" w:leftChars="0"/>
              <w:rPr>
                <w:rFonts w:ascii="宋体" w:hAnsi="宋体" w:eastAsia="宋体" w:cs="宋体"/>
                <w:kern w:val="2"/>
                <w:sz w:val="21"/>
                <w:szCs w:val="21"/>
                <w:lang w:val="en-US" w:eastAsia="en-US" w:bidi="ar-SA"/>
              </w:rPr>
            </w:pPr>
            <w:r>
              <w:rPr>
                <w:spacing w:val="-4"/>
              </w:rPr>
              <w:t>51</w:t>
            </w:r>
          </w:p>
        </w:tc>
        <w:tc>
          <w:tcPr>
            <w:tcW w:w="1538" w:type="dxa"/>
            <w:shd w:val="clear" w:color="auto" w:fill="auto"/>
            <w:vAlign w:val="top"/>
          </w:tcPr>
          <w:p w14:paraId="498D3A03">
            <w:pPr>
              <w:pStyle w:val="7"/>
              <w:spacing w:before="58" w:line="220" w:lineRule="auto"/>
              <w:ind w:left="340" w:leftChars="0"/>
              <w:rPr>
                <w:rFonts w:ascii="宋体" w:hAnsi="宋体" w:eastAsia="宋体" w:cs="宋体"/>
                <w:kern w:val="2"/>
                <w:sz w:val="21"/>
                <w:szCs w:val="21"/>
                <w:lang w:val="en-US" w:eastAsia="en-US" w:bidi="ar-SA"/>
              </w:rPr>
            </w:pPr>
            <w:r>
              <w:rPr>
                <w:spacing w:val="3"/>
              </w:rPr>
              <w:t>订单中心</w:t>
            </w:r>
          </w:p>
        </w:tc>
        <w:tc>
          <w:tcPr>
            <w:tcW w:w="6287" w:type="dxa"/>
            <w:shd w:val="clear" w:color="auto" w:fill="auto"/>
            <w:vAlign w:val="top"/>
          </w:tcPr>
          <w:p w14:paraId="0D4DAB55">
            <w:pPr>
              <w:pStyle w:val="7"/>
              <w:spacing w:before="57" w:line="219" w:lineRule="auto"/>
              <w:ind w:left="122" w:leftChars="0"/>
              <w:rPr>
                <w:rFonts w:hint="eastAsia" w:ascii="宋体" w:hAnsi="宋体" w:eastAsia="宋体" w:cs="宋体"/>
                <w:kern w:val="2"/>
                <w:sz w:val="21"/>
                <w:szCs w:val="21"/>
                <w:lang w:val="en-US" w:eastAsia="zh-CN" w:bidi="ar-SA"/>
              </w:rPr>
            </w:pPr>
            <w:r>
              <w:t>查看用户在平台的各类业务订单数据</w:t>
            </w:r>
            <w:r>
              <w:rPr>
                <w:rFonts w:hint="eastAsia"/>
                <w:lang w:eastAsia="zh-CN"/>
              </w:rPr>
              <w:t>。</w:t>
            </w:r>
          </w:p>
        </w:tc>
      </w:tr>
      <w:tr w14:paraId="3D380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756" w:type="dxa"/>
            <w:shd w:val="clear" w:color="auto" w:fill="auto"/>
            <w:vAlign w:val="top"/>
          </w:tcPr>
          <w:p w14:paraId="04BAA620">
            <w:pPr>
              <w:pStyle w:val="7"/>
              <w:spacing w:before="98"/>
              <w:ind w:left="85" w:leftChars="0"/>
              <w:rPr>
                <w:rFonts w:ascii="宋体" w:hAnsi="宋体" w:eastAsia="宋体" w:cs="宋体"/>
                <w:kern w:val="2"/>
                <w:sz w:val="21"/>
                <w:szCs w:val="21"/>
                <w:lang w:val="en-US" w:eastAsia="en-US" w:bidi="ar-SA"/>
              </w:rPr>
            </w:pPr>
            <w:r>
              <w:rPr>
                <w:spacing w:val="-4"/>
              </w:rPr>
              <w:t>52</w:t>
            </w:r>
          </w:p>
        </w:tc>
        <w:tc>
          <w:tcPr>
            <w:tcW w:w="1538" w:type="dxa"/>
            <w:shd w:val="clear" w:color="auto" w:fill="auto"/>
            <w:vAlign w:val="top"/>
          </w:tcPr>
          <w:p w14:paraId="03E27A08">
            <w:pPr>
              <w:pStyle w:val="7"/>
              <w:spacing w:before="56" w:line="219" w:lineRule="auto"/>
              <w:ind w:left="130" w:leftChars="0"/>
              <w:rPr>
                <w:rFonts w:ascii="宋体" w:hAnsi="宋体" w:eastAsia="宋体" w:cs="宋体"/>
                <w:kern w:val="2"/>
                <w:sz w:val="21"/>
                <w:szCs w:val="21"/>
                <w:lang w:val="en-US" w:eastAsia="en-US" w:bidi="ar-SA"/>
              </w:rPr>
            </w:pPr>
            <w:r>
              <w:rPr>
                <w:spacing w:val="1"/>
              </w:rPr>
              <w:t>收货地址管理</w:t>
            </w:r>
          </w:p>
        </w:tc>
        <w:tc>
          <w:tcPr>
            <w:tcW w:w="6287" w:type="dxa"/>
            <w:shd w:val="clear" w:color="auto" w:fill="auto"/>
            <w:vAlign w:val="top"/>
          </w:tcPr>
          <w:p w14:paraId="5AB7D3DD">
            <w:pPr>
              <w:pStyle w:val="7"/>
              <w:spacing w:before="56" w:line="219" w:lineRule="auto"/>
              <w:ind w:left="32" w:leftChars="0"/>
              <w:rPr>
                <w:rFonts w:hint="eastAsia" w:ascii="宋体" w:hAnsi="宋体" w:eastAsia="宋体" w:cs="宋体"/>
                <w:kern w:val="2"/>
                <w:sz w:val="21"/>
                <w:szCs w:val="21"/>
                <w:lang w:val="en-US" w:eastAsia="zh-CN" w:bidi="ar-SA"/>
              </w:rPr>
            </w:pPr>
            <w:r>
              <w:rPr>
                <w:spacing w:val="1"/>
              </w:rPr>
              <w:t>患者可管理自己的收货地址，方便网上购药时使用</w:t>
            </w:r>
            <w:r>
              <w:rPr>
                <w:rFonts w:hint="eastAsia"/>
                <w:spacing w:val="1"/>
                <w:lang w:eastAsia="zh-CN"/>
              </w:rPr>
              <w:t>。</w:t>
            </w:r>
          </w:p>
        </w:tc>
      </w:tr>
      <w:tr w14:paraId="3DA8A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756" w:type="dxa"/>
            <w:shd w:val="clear" w:color="auto" w:fill="auto"/>
            <w:vAlign w:val="top"/>
          </w:tcPr>
          <w:p w14:paraId="1B1DEDFD">
            <w:pPr>
              <w:pStyle w:val="7"/>
              <w:spacing w:before="70" w:line="189" w:lineRule="auto"/>
              <w:ind w:left="85" w:leftChars="0"/>
              <w:rPr>
                <w:rFonts w:ascii="宋体" w:hAnsi="宋体" w:eastAsia="宋体" w:cs="宋体"/>
                <w:kern w:val="2"/>
                <w:sz w:val="21"/>
                <w:szCs w:val="21"/>
                <w:lang w:val="en-US" w:eastAsia="en-US" w:bidi="ar-SA"/>
              </w:rPr>
            </w:pPr>
            <w:r>
              <w:rPr>
                <w:spacing w:val="-4"/>
              </w:rPr>
              <w:t>53</w:t>
            </w:r>
          </w:p>
        </w:tc>
        <w:tc>
          <w:tcPr>
            <w:tcW w:w="1538" w:type="dxa"/>
            <w:shd w:val="clear" w:color="auto" w:fill="auto"/>
            <w:vAlign w:val="top"/>
          </w:tcPr>
          <w:p w14:paraId="19F55E68">
            <w:pPr>
              <w:pStyle w:val="7"/>
              <w:spacing w:before="48" w:line="208" w:lineRule="auto"/>
              <w:ind w:left="130" w:leftChars="0"/>
              <w:rPr>
                <w:rFonts w:ascii="宋体" w:hAnsi="宋体" w:eastAsia="宋体" w:cs="宋体"/>
                <w:kern w:val="2"/>
                <w:sz w:val="21"/>
                <w:szCs w:val="21"/>
                <w:lang w:val="en-US" w:eastAsia="en-US" w:bidi="ar-SA"/>
              </w:rPr>
            </w:pPr>
            <w:r>
              <w:rPr>
                <w:spacing w:val="-2"/>
              </w:rPr>
              <w:t>微信在线客服</w:t>
            </w:r>
          </w:p>
        </w:tc>
        <w:tc>
          <w:tcPr>
            <w:tcW w:w="6287" w:type="dxa"/>
            <w:shd w:val="clear" w:color="auto" w:fill="auto"/>
            <w:vAlign w:val="top"/>
          </w:tcPr>
          <w:p w14:paraId="37B7C23D">
            <w:pPr>
              <w:pStyle w:val="7"/>
              <w:spacing w:before="48" w:line="208" w:lineRule="auto"/>
              <w:ind w:left="32" w:leftChars="0"/>
              <w:rPr>
                <w:rFonts w:ascii="宋体" w:hAnsi="宋体" w:eastAsia="宋体" w:cs="宋体"/>
                <w:kern w:val="2"/>
                <w:sz w:val="21"/>
                <w:szCs w:val="21"/>
                <w:lang w:val="en-US" w:eastAsia="en-US" w:bidi="ar-SA"/>
              </w:rPr>
            </w:pPr>
            <w:r>
              <w:rPr>
                <w:spacing w:val="-1"/>
              </w:rPr>
              <w:t>对接微信小程序自带的客服能力，医院端可以通过微信客服对小程序上留言的患者进行解答和导诊。</w:t>
            </w:r>
          </w:p>
        </w:tc>
      </w:tr>
      <w:tr w14:paraId="53487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56" w:type="dxa"/>
            <w:shd w:val="clear" w:color="auto" w:fill="auto"/>
            <w:vAlign w:val="top"/>
          </w:tcPr>
          <w:p w14:paraId="0662ABBD">
            <w:pPr>
              <w:pStyle w:val="7"/>
              <w:spacing w:before="92"/>
              <w:ind w:left="34" w:leftChars="0"/>
              <w:rPr>
                <w:rFonts w:ascii="宋体" w:hAnsi="宋体" w:eastAsia="宋体" w:cs="宋体"/>
                <w:b w:val="0"/>
                <w:bCs w:val="0"/>
                <w:kern w:val="2"/>
                <w:sz w:val="21"/>
                <w:szCs w:val="21"/>
                <w:lang w:val="en-US" w:eastAsia="en-US" w:bidi="ar-SA"/>
              </w:rPr>
            </w:pPr>
            <w:r>
              <w:rPr>
                <w:b w:val="0"/>
                <w:bCs w:val="0"/>
                <w:spacing w:val="-5"/>
                <w:sz w:val="21"/>
                <w:szCs w:val="21"/>
              </w:rPr>
              <w:t>54</w:t>
            </w:r>
          </w:p>
        </w:tc>
        <w:tc>
          <w:tcPr>
            <w:tcW w:w="1538" w:type="dxa"/>
            <w:shd w:val="clear" w:color="auto" w:fill="auto"/>
            <w:vAlign w:val="top"/>
          </w:tcPr>
          <w:p w14:paraId="0BB5D47B">
            <w:pPr>
              <w:pStyle w:val="7"/>
              <w:spacing w:before="57" w:line="219" w:lineRule="auto"/>
              <w:ind w:left="340" w:leftChars="0"/>
              <w:rPr>
                <w:rFonts w:ascii="宋体" w:hAnsi="宋体" w:eastAsia="宋体" w:cs="宋体"/>
                <w:kern w:val="2"/>
                <w:sz w:val="21"/>
                <w:szCs w:val="21"/>
                <w:lang w:val="en-US" w:eastAsia="en-US" w:bidi="ar-SA"/>
              </w:rPr>
            </w:pPr>
            <w:r>
              <w:rPr>
                <w:spacing w:val="4"/>
              </w:rPr>
              <w:t>医院介绍</w:t>
            </w:r>
          </w:p>
        </w:tc>
        <w:tc>
          <w:tcPr>
            <w:tcW w:w="6287" w:type="dxa"/>
            <w:shd w:val="clear" w:color="auto" w:fill="auto"/>
            <w:vAlign w:val="top"/>
          </w:tcPr>
          <w:p w14:paraId="6762702F">
            <w:pPr>
              <w:pStyle w:val="7"/>
              <w:spacing w:before="47" w:line="219" w:lineRule="auto"/>
              <w:ind w:left="112" w:leftChars="0"/>
              <w:rPr>
                <w:rFonts w:hint="eastAsia" w:ascii="宋体" w:hAnsi="宋体" w:eastAsia="宋体" w:cs="宋体"/>
                <w:kern w:val="2"/>
                <w:sz w:val="21"/>
                <w:szCs w:val="21"/>
                <w:lang w:val="en-US" w:eastAsia="zh-CN" w:bidi="ar-SA"/>
              </w:rPr>
            </w:pPr>
            <w:r>
              <w:t>医院介绍，可查看医院地址，院区等信息</w:t>
            </w:r>
            <w:r>
              <w:rPr>
                <w:rFonts w:hint="eastAsia"/>
                <w:lang w:eastAsia="zh-CN"/>
              </w:rPr>
              <w:t>。</w:t>
            </w:r>
          </w:p>
        </w:tc>
      </w:tr>
      <w:tr w14:paraId="2B4FC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756" w:type="dxa"/>
            <w:shd w:val="clear" w:color="auto" w:fill="auto"/>
            <w:vAlign w:val="top"/>
          </w:tcPr>
          <w:p w14:paraId="12704285">
            <w:pPr>
              <w:pStyle w:val="7"/>
              <w:spacing w:before="108"/>
              <w:ind w:left="87" w:leftChars="0"/>
              <w:rPr>
                <w:rFonts w:ascii="宋体" w:hAnsi="宋体" w:eastAsia="宋体" w:cs="宋体"/>
                <w:b w:val="0"/>
                <w:bCs w:val="0"/>
                <w:kern w:val="2"/>
                <w:sz w:val="21"/>
                <w:szCs w:val="21"/>
                <w:lang w:val="en-US" w:eastAsia="en-US" w:bidi="ar-SA"/>
              </w:rPr>
            </w:pPr>
            <w:r>
              <w:rPr>
                <w:b w:val="0"/>
                <w:bCs w:val="0"/>
                <w:spacing w:val="-6"/>
                <w:sz w:val="21"/>
                <w:szCs w:val="21"/>
              </w:rPr>
              <w:t>55</w:t>
            </w:r>
          </w:p>
        </w:tc>
        <w:tc>
          <w:tcPr>
            <w:tcW w:w="1538" w:type="dxa"/>
            <w:shd w:val="clear" w:color="auto" w:fill="auto"/>
            <w:vAlign w:val="top"/>
          </w:tcPr>
          <w:p w14:paraId="60ED32FE">
            <w:pPr>
              <w:pStyle w:val="7"/>
              <w:spacing w:before="60" w:line="220" w:lineRule="auto"/>
              <w:ind w:left="340" w:leftChars="0"/>
              <w:rPr>
                <w:rFonts w:ascii="宋体" w:hAnsi="宋体" w:eastAsia="宋体" w:cs="宋体"/>
                <w:kern w:val="2"/>
                <w:sz w:val="21"/>
                <w:szCs w:val="21"/>
                <w:lang w:val="en-US" w:eastAsia="en-US" w:bidi="ar-SA"/>
              </w:rPr>
            </w:pPr>
            <w:r>
              <w:rPr>
                <w:spacing w:val="2"/>
              </w:rPr>
              <w:t>医院导航</w:t>
            </w:r>
          </w:p>
        </w:tc>
        <w:tc>
          <w:tcPr>
            <w:tcW w:w="6287" w:type="dxa"/>
            <w:shd w:val="clear" w:color="auto" w:fill="auto"/>
            <w:vAlign w:val="top"/>
          </w:tcPr>
          <w:p w14:paraId="55E1BFC0">
            <w:pPr>
              <w:pStyle w:val="7"/>
              <w:spacing w:before="49" w:line="246" w:lineRule="auto"/>
              <w:ind w:left="22" w:leftChars="0" w:right="22" w:rightChars="0"/>
              <w:jc w:val="both"/>
              <w:rPr>
                <w:rFonts w:ascii="宋体" w:hAnsi="宋体" w:eastAsia="宋体" w:cs="宋体"/>
                <w:kern w:val="2"/>
                <w:sz w:val="21"/>
                <w:szCs w:val="21"/>
                <w:lang w:val="en-US" w:eastAsia="en-US" w:bidi="ar-SA"/>
              </w:rPr>
            </w:pPr>
            <w:r>
              <w:rPr>
                <w:spacing w:val="-1"/>
              </w:rPr>
              <w:t>支持院外导航，维护医院地位，调用第三方地图权</w:t>
            </w:r>
            <w:r>
              <w:t>限，实现到院导航；院内静态地图导航，实现患者</w:t>
            </w:r>
            <w:r>
              <w:rPr>
                <w:spacing w:val="17"/>
              </w:rPr>
              <w:t>查询院内门诊科室地址；</w:t>
            </w:r>
          </w:p>
        </w:tc>
      </w:tr>
      <w:tr w14:paraId="26DCD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756" w:type="dxa"/>
            <w:shd w:val="clear" w:color="auto" w:fill="auto"/>
            <w:vAlign w:val="top"/>
          </w:tcPr>
          <w:p w14:paraId="3B54E27C">
            <w:pPr>
              <w:pStyle w:val="7"/>
              <w:spacing w:before="100"/>
              <w:ind w:left="84" w:leftChars="0"/>
              <w:rPr>
                <w:rFonts w:ascii="宋体" w:hAnsi="宋体" w:eastAsia="宋体" w:cs="宋体"/>
                <w:kern w:val="2"/>
                <w:sz w:val="21"/>
                <w:szCs w:val="21"/>
                <w:lang w:val="en-US" w:eastAsia="en-US" w:bidi="ar-SA"/>
              </w:rPr>
            </w:pPr>
            <w:r>
              <w:rPr>
                <w:spacing w:val="-4"/>
              </w:rPr>
              <w:t>56</w:t>
            </w:r>
          </w:p>
        </w:tc>
        <w:tc>
          <w:tcPr>
            <w:tcW w:w="1538" w:type="dxa"/>
            <w:shd w:val="clear" w:color="auto" w:fill="auto"/>
            <w:vAlign w:val="top"/>
          </w:tcPr>
          <w:p w14:paraId="00C588B0">
            <w:pPr>
              <w:pStyle w:val="7"/>
              <w:spacing w:before="49" w:line="219" w:lineRule="auto"/>
              <w:ind w:left="340" w:leftChars="0"/>
              <w:rPr>
                <w:rFonts w:ascii="宋体" w:hAnsi="宋体" w:eastAsia="宋体" w:cs="宋体"/>
                <w:kern w:val="2"/>
                <w:sz w:val="21"/>
                <w:szCs w:val="21"/>
                <w:lang w:val="en-US" w:eastAsia="en-US" w:bidi="ar-SA"/>
              </w:rPr>
            </w:pPr>
            <w:r>
              <w:rPr>
                <w:spacing w:val="-2"/>
              </w:rPr>
              <w:t>健康百科</w:t>
            </w:r>
          </w:p>
        </w:tc>
        <w:tc>
          <w:tcPr>
            <w:tcW w:w="6287" w:type="dxa"/>
            <w:shd w:val="clear" w:color="auto" w:fill="auto"/>
            <w:vAlign w:val="top"/>
          </w:tcPr>
          <w:p w14:paraId="632B1F05">
            <w:pPr>
              <w:pStyle w:val="7"/>
              <w:spacing w:before="48" w:line="238" w:lineRule="auto"/>
              <w:ind w:left="72" w:leftChars="0" w:right="35" w:rightChars="0"/>
              <w:rPr>
                <w:rFonts w:hint="eastAsia" w:ascii="宋体" w:hAnsi="宋体" w:eastAsia="宋体" w:cs="宋体"/>
                <w:kern w:val="2"/>
                <w:sz w:val="21"/>
                <w:szCs w:val="21"/>
                <w:lang w:val="en-US" w:eastAsia="zh-CN" w:bidi="ar-SA"/>
              </w:rPr>
            </w:pPr>
            <w:r>
              <w:t>患者通过用户端获取各类健康相关的百科知识(疾</w:t>
            </w:r>
            <w:r>
              <w:rPr>
                <w:spacing w:val="2"/>
              </w:rPr>
              <w:t>病知识、急救库、西药、中成药、读懂报告单等)</w:t>
            </w:r>
            <w:r>
              <w:rPr>
                <w:rFonts w:hint="eastAsia"/>
                <w:spacing w:val="2"/>
                <w:lang w:eastAsia="zh-CN"/>
              </w:rPr>
              <w:t>。</w:t>
            </w:r>
          </w:p>
        </w:tc>
      </w:tr>
      <w:tr w14:paraId="2C95B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69D1D94">
            <w:pPr>
              <w:pStyle w:val="7"/>
              <w:spacing w:before="100"/>
              <w:ind w:left="84" w:leftChars="0"/>
              <w:rPr>
                <w:rFonts w:ascii="宋体" w:hAnsi="宋体" w:eastAsia="宋体" w:cs="宋体"/>
                <w:kern w:val="2"/>
                <w:sz w:val="21"/>
                <w:szCs w:val="21"/>
                <w:lang w:val="en-US" w:eastAsia="en-US" w:bidi="ar-SA"/>
              </w:rPr>
            </w:pPr>
            <w:r>
              <w:rPr>
                <w:spacing w:val="-4"/>
              </w:rPr>
              <w:t>57</w:t>
            </w:r>
          </w:p>
        </w:tc>
        <w:tc>
          <w:tcPr>
            <w:tcW w:w="1538" w:type="dxa"/>
            <w:shd w:val="clear" w:color="auto" w:fill="auto"/>
            <w:vAlign w:val="top"/>
          </w:tcPr>
          <w:p w14:paraId="1178DF19">
            <w:pPr>
              <w:pStyle w:val="7"/>
              <w:spacing w:before="51" w:line="220" w:lineRule="auto"/>
              <w:ind w:left="340" w:leftChars="0"/>
              <w:rPr>
                <w:rFonts w:ascii="宋体" w:hAnsi="宋体" w:eastAsia="宋体" w:cs="宋体"/>
                <w:kern w:val="2"/>
                <w:sz w:val="21"/>
                <w:szCs w:val="21"/>
                <w:lang w:val="en-US" w:eastAsia="en-US" w:bidi="ar-SA"/>
              </w:rPr>
            </w:pPr>
            <w:r>
              <w:rPr>
                <w:spacing w:val="2"/>
              </w:rPr>
              <w:t>发起转诊</w:t>
            </w:r>
          </w:p>
        </w:tc>
        <w:tc>
          <w:tcPr>
            <w:tcW w:w="6287" w:type="dxa"/>
            <w:shd w:val="clear" w:color="auto" w:fill="auto"/>
            <w:vAlign w:val="top"/>
          </w:tcPr>
          <w:p w14:paraId="28629F1A">
            <w:pPr>
              <w:pStyle w:val="7"/>
              <w:spacing w:before="49" w:line="267" w:lineRule="auto"/>
              <w:ind w:left="22" w:firstLine="49"/>
              <w:jc w:val="both"/>
            </w:pPr>
            <w:r>
              <w:rPr>
                <w:spacing w:val="-1"/>
              </w:rPr>
              <w:t>医生邀请医联体内开通转诊的医生申请转诊服务，医生同意接收后，接收医生提交的转接信息，引导</w:t>
            </w:r>
            <w:r>
              <w:rPr>
                <w:spacing w:val="26"/>
              </w:rPr>
              <w:t>患者完成转诊；</w:t>
            </w:r>
          </w:p>
          <w:p w14:paraId="0BE95D7C">
            <w:pPr>
              <w:pStyle w:val="7"/>
              <w:spacing w:before="2" w:line="245" w:lineRule="auto"/>
              <w:ind w:left="22" w:leftChars="0" w:right="22" w:rightChars="0"/>
              <w:jc w:val="both"/>
              <w:rPr>
                <w:rFonts w:ascii="宋体" w:hAnsi="宋体" w:eastAsia="宋体" w:cs="宋体"/>
                <w:kern w:val="2"/>
                <w:sz w:val="21"/>
                <w:szCs w:val="21"/>
                <w:lang w:val="en-US" w:eastAsia="en-US" w:bidi="ar-SA"/>
              </w:rPr>
            </w:pPr>
            <w:r>
              <w:t>注：医联体内使用同一套系统的医院，</w:t>
            </w:r>
            <w:r>
              <w:rPr>
                <w:color w:val="102030"/>
              </w:rPr>
              <w:t>医生开通转</w:t>
            </w:r>
            <w:r>
              <w:rPr>
                <w:spacing w:val="-1"/>
              </w:rPr>
              <w:t>诊服务可实现数据互通；</w:t>
            </w:r>
          </w:p>
        </w:tc>
      </w:tr>
      <w:tr w14:paraId="525E2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756" w:type="dxa"/>
            <w:shd w:val="clear" w:color="auto" w:fill="auto"/>
            <w:vAlign w:val="top"/>
          </w:tcPr>
          <w:p w14:paraId="66DF1F04">
            <w:pPr>
              <w:pStyle w:val="7"/>
              <w:spacing w:before="92"/>
              <w:ind w:left="84" w:leftChars="0"/>
              <w:rPr>
                <w:rFonts w:ascii="宋体" w:hAnsi="宋体" w:eastAsia="宋体" w:cs="宋体"/>
                <w:kern w:val="2"/>
                <w:sz w:val="21"/>
                <w:szCs w:val="21"/>
                <w:lang w:val="en-US" w:eastAsia="en-US" w:bidi="ar-SA"/>
              </w:rPr>
            </w:pPr>
            <w:r>
              <w:rPr>
                <w:spacing w:val="-4"/>
              </w:rPr>
              <w:t>58</w:t>
            </w:r>
          </w:p>
        </w:tc>
        <w:tc>
          <w:tcPr>
            <w:tcW w:w="1538" w:type="dxa"/>
            <w:shd w:val="clear" w:color="auto" w:fill="auto"/>
            <w:vAlign w:val="top"/>
          </w:tcPr>
          <w:p w14:paraId="4E4C515A">
            <w:pPr>
              <w:pStyle w:val="7"/>
              <w:spacing w:before="51" w:line="219" w:lineRule="auto"/>
              <w:ind w:left="340" w:leftChars="0"/>
              <w:rPr>
                <w:rFonts w:ascii="宋体" w:hAnsi="宋体" w:eastAsia="宋体" w:cs="宋体"/>
                <w:kern w:val="2"/>
                <w:sz w:val="21"/>
                <w:szCs w:val="21"/>
                <w:lang w:val="en-US" w:eastAsia="en-US" w:bidi="ar-SA"/>
              </w:rPr>
            </w:pPr>
            <w:r>
              <w:rPr>
                <w:spacing w:val="-2"/>
              </w:rPr>
              <w:t>转诊管理</w:t>
            </w:r>
          </w:p>
        </w:tc>
        <w:tc>
          <w:tcPr>
            <w:tcW w:w="6287" w:type="dxa"/>
            <w:shd w:val="clear" w:color="auto" w:fill="auto"/>
            <w:vAlign w:val="top"/>
          </w:tcPr>
          <w:p w14:paraId="7C34AA21">
            <w:pPr>
              <w:pStyle w:val="7"/>
              <w:spacing w:before="52" w:line="236" w:lineRule="auto"/>
              <w:ind w:left="91" w:leftChars="0" w:right="22" w:rightChars="0" w:hanging="69" w:firstLineChars="0"/>
              <w:rPr>
                <w:rFonts w:hint="eastAsia" w:ascii="宋体" w:hAnsi="宋体" w:eastAsia="宋体" w:cs="宋体"/>
                <w:kern w:val="2"/>
                <w:sz w:val="21"/>
                <w:szCs w:val="21"/>
                <w:lang w:val="en-US" w:eastAsia="zh-CN" w:bidi="ar-SA"/>
              </w:rPr>
            </w:pPr>
            <w:r>
              <w:t>受邀医生转诊申请处理、转诊信息记录、转诊单分</w:t>
            </w:r>
            <w:r>
              <w:rPr>
                <w:spacing w:val="2"/>
              </w:rPr>
              <w:t>发等功能</w:t>
            </w:r>
            <w:r>
              <w:rPr>
                <w:rFonts w:hint="eastAsia"/>
                <w:spacing w:val="2"/>
                <w:lang w:eastAsia="zh-CN"/>
              </w:rPr>
              <w:t>。</w:t>
            </w:r>
          </w:p>
        </w:tc>
      </w:tr>
      <w:tr w14:paraId="29E0A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56" w:type="dxa"/>
            <w:shd w:val="clear" w:color="auto" w:fill="auto"/>
            <w:vAlign w:val="top"/>
          </w:tcPr>
          <w:p w14:paraId="778CCA54">
            <w:pPr>
              <w:pStyle w:val="7"/>
              <w:spacing w:before="112"/>
              <w:ind w:left="84" w:leftChars="0"/>
              <w:rPr>
                <w:rFonts w:ascii="宋体" w:hAnsi="宋体" w:eastAsia="宋体" w:cs="宋体"/>
                <w:kern w:val="2"/>
                <w:sz w:val="21"/>
                <w:szCs w:val="21"/>
                <w:lang w:val="en-US" w:eastAsia="en-US" w:bidi="ar-SA"/>
              </w:rPr>
            </w:pPr>
            <w:r>
              <w:rPr>
                <w:spacing w:val="-4"/>
              </w:rPr>
              <w:t>59</w:t>
            </w:r>
          </w:p>
        </w:tc>
        <w:tc>
          <w:tcPr>
            <w:tcW w:w="1538" w:type="dxa"/>
            <w:shd w:val="clear" w:color="auto" w:fill="auto"/>
            <w:vAlign w:val="top"/>
          </w:tcPr>
          <w:p w14:paraId="2B8FEB09">
            <w:pPr>
              <w:pStyle w:val="7"/>
              <w:spacing w:before="52" w:line="219" w:lineRule="auto"/>
              <w:ind w:left="340" w:leftChars="0"/>
              <w:rPr>
                <w:rFonts w:ascii="宋体" w:hAnsi="宋体" w:eastAsia="宋体" w:cs="宋体"/>
                <w:kern w:val="2"/>
                <w:sz w:val="21"/>
                <w:szCs w:val="21"/>
                <w:lang w:val="en-US" w:eastAsia="en-US" w:bidi="ar-SA"/>
              </w:rPr>
            </w:pPr>
            <w:r>
              <w:rPr>
                <w:spacing w:val="1"/>
              </w:rPr>
              <w:t>院区管理</w:t>
            </w:r>
          </w:p>
        </w:tc>
        <w:tc>
          <w:tcPr>
            <w:tcW w:w="6287" w:type="dxa"/>
            <w:shd w:val="clear" w:color="auto" w:fill="auto"/>
            <w:vAlign w:val="top"/>
          </w:tcPr>
          <w:p w14:paraId="16432F8C">
            <w:pPr>
              <w:pStyle w:val="7"/>
              <w:spacing w:before="72" w:line="232" w:lineRule="auto"/>
              <w:ind w:left="91" w:leftChars="0" w:right="18" w:rightChars="0" w:hanging="69" w:firstLineChars="0"/>
              <w:rPr>
                <w:rFonts w:hint="eastAsia" w:ascii="宋体" w:hAnsi="宋体" w:eastAsia="宋体" w:cs="宋体"/>
                <w:kern w:val="2"/>
                <w:sz w:val="21"/>
                <w:szCs w:val="21"/>
                <w:lang w:val="en-US" w:eastAsia="zh-CN" w:bidi="ar-SA"/>
              </w:rPr>
            </w:pPr>
            <w:r>
              <w:rPr>
                <w:color w:val="102030"/>
              </w:rPr>
              <w:t>根据行政机构，新增院区，查看院区详情，</w:t>
            </w:r>
            <w:r>
              <w:t>修改已</w:t>
            </w:r>
            <w:r>
              <w:rPr>
                <w:spacing w:val="1"/>
              </w:rPr>
              <w:t>有院区信息，删除已有院区</w:t>
            </w:r>
            <w:r>
              <w:rPr>
                <w:rFonts w:hint="eastAsia"/>
                <w:spacing w:val="1"/>
                <w:lang w:eastAsia="zh-CN"/>
              </w:rPr>
              <w:t>。</w:t>
            </w:r>
          </w:p>
        </w:tc>
      </w:tr>
      <w:tr w14:paraId="2900F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756" w:type="dxa"/>
            <w:shd w:val="clear" w:color="auto" w:fill="auto"/>
            <w:vAlign w:val="top"/>
          </w:tcPr>
          <w:p w14:paraId="25D91860">
            <w:pPr>
              <w:pStyle w:val="7"/>
              <w:spacing w:before="92"/>
              <w:ind w:left="84" w:leftChars="0"/>
              <w:rPr>
                <w:rFonts w:ascii="宋体" w:hAnsi="宋体" w:eastAsia="宋体" w:cs="宋体"/>
                <w:kern w:val="2"/>
                <w:sz w:val="21"/>
                <w:szCs w:val="21"/>
                <w:lang w:val="en-US" w:eastAsia="en-US" w:bidi="ar-SA"/>
              </w:rPr>
            </w:pPr>
            <w:r>
              <w:rPr>
                <w:spacing w:val="-3"/>
              </w:rPr>
              <w:t>60</w:t>
            </w:r>
          </w:p>
        </w:tc>
        <w:tc>
          <w:tcPr>
            <w:tcW w:w="1538" w:type="dxa"/>
            <w:shd w:val="clear" w:color="auto" w:fill="auto"/>
            <w:vAlign w:val="top"/>
          </w:tcPr>
          <w:p w14:paraId="6279BB03">
            <w:pPr>
              <w:pStyle w:val="7"/>
              <w:spacing w:before="51" w:line="219" w:lineRule="auto"/>
              <w:ind w:left="340" w:leftChars="0"/>
              <w:rPr>
                <w:rFonts w:ascii="宋体" w:hAnsi="宋体" w:eastAsia="宋体" w:cs="宋体"/>
                <w:kern w:val="2"/>
                <w:sz w:val="21"/>
                <w:szCs w:val="21"/>
                <w:lang w:val="en-US" w:eastAsia="en-US" w:bidi="ar-SA"/>
              </w:rPr>
            </w:pPr>
            <w:r>
              <w:rPr>
                <w:spacing w:val="-2"/>
              </w:rPr>
              <w:t>科室管理</w:t>
            </w:r>
          </w:p>
        </w:tc>
        <w:tc>
          <w:tcPr>
            <w:tcW w:w="6287" w:type="dxa"/>
            <w:shd w:val="clear" w:color="auto" w:fill="auto"/>
            <w:vAlign w:val="top"/>
          </w:tcPr>
          <w:p w14:paraId="479996DC">
            <w:pPr>
              <w:pStyle w:val="7"/>
              <w:spacing w:before="50" w:line="237" w:lineRule="auto"/>
              <w:ind w:left="90" w:leftChars="0" w:hanging="78" w:firstLineChars="0"/>
              <w:rPr>
                <w:rFonts w:ascii="宋体" w:hAnsi="宋体" w:eastAsia="宋体" w:cs="宋体"/>
                <w:kern w:val="2"/>
                <w:sz w:val="21"/>
                <w:szCs w:val="21"/>
                <w:lang w:val="en-US" w:eastAsia="en-US" w:bidi="ar-SA"/>
              </w:rPr>
            </w:pPr>
            <w:r>
              <w:rPr>
                <w:spacing w:val="-8"/>
              </w:rPr>
              <w:t>根据行政机构，新增行政科室，查看行政科室详情，</w:t>
            </w:r>
            <w:r>
              <w:rPr>
                <w:spacing w:val="-6"/>
              </w:rPr>
              <w:t>修改已有行政科室信息，删除已有行政科室</w:t>
            </w:r>
          </w:p>
        </w:tc>
      </w:tr>
      <w:tr w14:paraId="73A04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21F60EDE">
            <w:pPr>
              <w:pStyle w:val="7"/>
              <w:spacing w:before="93"/>
              <w:ind w:left="84" w:leftChars="0"/>
              <w:rPr>
                <w:rFonts w:ascii="宋体" w:hAnsi="宋体" w:eastAsia="宋体" w:cs="宋体"/>
                <w:kern w:val="2"/>
                <w:sz w:val="21"/>
                <w:szCs w:val="21"/>
                <w:lang w:val="en-US" w:eastAsia="en-US" w:bidi="ar-SA"/>
              </w:rPr>
            </w:pPr>
            <w:r>
              <w:rPr>
                <w:spacing w:val="-3"/>
              </w:rPr>
              <w:t>61</w:t>
            </w:r>
          </w:p>
        </w:tc>
        <w:tc>
          <w:tcPr>
            <w:tcW w:w="1538" w:type="dxa"/>
            <w:shd w:val="clear" w:color="auto" w:fill="auto"/>
            <w:vAlign w:val="top"/>
          </w:tcPr>
          <w:p w14:paraId="7A760536">
            <w:pPr>
              <w:pStyle w:val="7"/>
              <w:spacing w:before="62" w:line="257" w:lineRule="auto"/>
              <w:ind w:left="449" w:leftChars="0" w:right="129" w:rightChars="0" w:hanging="319" w:firstLineChars="0"/>
              <w:rPr>
                <w:rFonts w:ascii="宋体" w:hAnsi="宋体" w:eastAsia="宋体" w:cs="宋体"/>
                <w:kern w:val="2"/>
                <w:sz w:val="21"/>
                <w:szCs w:val="21"/>
                <w:lang w:val="en-US" w:eastAsia="en-US" w:bidi="ar-SA"/>
              </w:rPr>
            </w:pPr>
            <w:r>
              <w:rPr>
                <w:spacing w:val="3"/>
              </w:rPr>
              <w:t>▲人员信息审</w:t>
            </w:r>
            <w:r>
              <w:rPr>
                <w:spacing w:val="-3"/>
              </w:rPr>
              <w:t>核管理</w:t>
            </w:r>
          </w:p>
        </w:tc>
        <w:tc>
          <w:tcPr>
            <w:tcW w:w="6287" w:type="dxa"/>
            <w:shd w:val="clear" w:color="auto" w:fill="auto"/>
            <w:vAlign w:val="top"/>
          </w:tcPr>
          <w:p w14:paraId="320BA9B1">
            <w:pPr>
              <w:pStyle w:val="7"/>
              <w:spacing w:before="64" w:line="247" w:lineRule="auto"/>
              <w:ind w:left="21" w:leftChars="0" w:hanging="9" w:firstLineChars="0"/>
              <w:jc w:val="both"/>
              <w:rPr>
                <w:rFonts w:hint="default" w:ascii="宋体" w:hAnsi="宋体" w:eastAsia="宋体" w:cs="宋体"/>
                <w:kern w:val="2"/>
                <w:sz w:val="21"/>
                <w:szCs w:val="21"/>
                <w:lang w:val="en-US" w:eastAsia="en-US" w:bidi="ar-SA"/>
              </w:rPr>
            </w:pPr>
            <w:r>
              <w:rPr>
                <w:spacing w:val="-6"/>
              </w:rPr>
              <w:t>查看所有医生/护士/药师/团队信息，根据机构、科</w:t>
            </w:r>
            <w:r>
              <w:rPr>
                <w:spacing w:val="1"/>
              </w:rPr>
              <w:t>室、行政科室是否有效筛选医生信息，根据姓名、</w:t>
            </w:r>
            <w:r>
              <w:rPr>
                <w:spacing w:val="-3"/>
              </w:rPr>
              <w:t>身份证号、医生类型、账号是否正常精确查询医生</w:t>
            </w:r>
            <w:r>
              <w:rPr>
                <w:spacing w:val="-4"/>
              </w:rPr>
              <w:t>信息，批量导入医生信息，新建医生，审核医生基</w:t>
            </w:r>
            <w:r>
              <w:rPr>
                <w:spacing w:val="3"/>
              </w:rPr>
              <w:t>本信息，查看医生执业信息</w:t>
            </w:r>
            <w:r>
              <w:rPr>
                <w:rFonts w:hint="eastAsia"/>
                <w:spacing w:val="3"/>
                <w:lang w:val="en-US" w:eastAsia="zh-CN"/>
              </w:rPr>
              <w:t>等，能</w:t>
            </w:r>
            <w:r>
              <w:rPr>
                <w:rFonts w:ascii="宋体" w:hAnsi="宋体" w:eastAsia="宋体" w:cs="宋体"/>
                <w:color w:val="3A00FF"/>
                <w:kern w:val="0"/>
                <w:sz w:val="21"/>
                <w:szCs w:val="21"/>
                <w:lang w:val="en-US" w:eastAsia="zh-CN" w:bidi="ar"/>
              </w:rPr>
              <w:t>完整记录并留存各类人员的系统登录日志</w:t>
            </w:r>
            <w:r>
              <w:rPr>
                <w:rFonts w:hint="eastAsia" w:cs="宋体"/>
                <w:color w:val="3A00FF"/>
                <w:kern w:val="0"/>
                <w:sz w:val="21"/>
                <w:szCs w:val="21"/>
                <w:lang w:val="en-US" w:eastAsia="zh-CN" w:bidi="ar"/>
              </w:rPr>
              <w:t>，</w:t>
            </w:r>
            <w:r>
              <w:rPr>
                <w:rFonts w:ascii="宋体" w:hAnsi="宋体" w:eastAsia="宋体" w:cs="宋体"/>
                <w:color w:val="3A00FF"/>
                <w:kern w:val="0"/>
                <w:sz w:val="21"/>
                <w:szCs w:val="21"/>
                <w:lang w:val="en-US" w:eastAsia="zh-CN" w:bidi="ar"/>
              </w:rPr>
              <w:t>支持日志查询、导出</w:t>
            </w:r>
            <w:r>
              <w:rPr>
                <w:rFonts w:hint="eastAsia" w:cs="宋体"/>
                <w:color w:val="3A00FF"/>
                <w:kern w:val="0"/>
                <w:sz w:val="21"/>
                <w:szCs w:val="21"/>
                <w:lang w:val="en-US" w:eastAsia="zh-CN" w:bidi="ar"/>
              </w:rPr>
              <w:t>。</w:t>
            </w:r>
          </w:p>
        </w:tc>
      </w:tr>
      <w:tr w14:paraId="13E43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756" w:type="dxa"/>
            <w:shd w:val="clear" w:color="auto" w:fill="auto"/>
            <w:vAlign w:val="top"/>
          </w:tcPr>
          <w:p w14:paraId="6114F258">
            <w:pPr>
              <w:pStyle w:val="7"/>
              <w:spacing w:before="93"/>
              <w:ind w:left="84" w:leftChars="0"/>
              <w:rPr>
                <w:rFonts w:hint="eastAsia" w:ascii="宋体" w:hAnsi="宋体" w:eastAsia="宋体" w:cs="宋体"/>
                <w:color w:val="0000FF"/>
                <w:kern w:val="2"/>
                <w:sz w:val="21"/>
                <w:szCs w:val="21"/>
                <w:lang w:val="en-US" w:eastAsia="zh-CN" w:bidi="ar-SA"/>
              </w:rPr>
            </w:pPr>
            <w:r>
              <w:rPr>
                <w:color w:val="0000FF"/>
                <w:spacing w:val="-3"/>
              </w:rPr>
              <w:t>6</w:t>
            </w:r>
            <w:r>
              <w:rPr>
                <w:rFonts w:hint="eastAsia"/>
                <w:color w:val="0000FF"/>
                <w:spacing w:val="-3"/>
                <w:lang w:val="en-US" w:eastAsia="zh-CN"/>
              </w:rPr>
              <w:t>2</w:t>
            </w:r>
          </w:p>
        </w:tc>
        <w:tc>
          <w:tcPr>
            <w:tcW w:w="1538" w:type="dxa"/>
            <w:shd w:val="clear" w:color="auto" w:fill="auto"/>
            <w:vAlign w:val="top"/>
          </w:tcPr>
          <w:p w14:paraId="008FBEC9">
            <w:pPr>
              <w:pStyle w:val="7"/>
              <w:spacing w:before="62" w:line="257" w:lineRule="auto"/>
              <w:ind w:left="449" w:leftChars="0" w:right="129" w:rightChars="0" w:hanging="319" w:firstLineChars="0"/>
              <w:rPr>
                <w:rFonts w:hint="default" w:ascii="宋体" w:hAnsi="宋体" w:eastAsia="宋体" w:cs="宋体"/>
                <w:color w:val="0000FF"/>
                <w:kern w:val="2"/>
                <w:sz w:val="21"/>
                <w:szCs w:val="21"/>
                <w:lang w:val="en-US" w:eastAsia="zh-CN" w:bidi="ar-SA"/>
              </w:rPr>
            </w:pPr>
            <w:r>
              <w:rPr>
                <w:color w:val="0000FF"/>
                <w:spacing w:val="3"/>
              </w:rPr>
              <w:t>▲</w:t>
            </w:r>
            <w:r>
              <w:rPr>
                <w:rFonts w:hint="eastAsia"/>
                <w:color w:val="0000FF"/>
                <w:spacing w:val="3"/>
                <w:lang w:val="en-US" w:eastAsia="zh-CN"/>
              </w:rPr>
              <w:t>后台财务对账功能</w:t>
            </w:r>
          </w:p>
        </w:tc>
        <w:tc>
          <w:tcPr>
            <w:tcW w:w="6287" w:type="dxa"/>
            <w:shd w:val="clear" w:color="auto" w:fill="auto"/>
            <w:vAlign w:val="top"/>
          </w:tcPr>
          <w:p w14:paraId="5F0ACB18">
            <w:pPr>
              <w:pStyle w:val="7"/>
              <w:spacing w:before="64" w:line="247" w:lineRule="auto"/>
              <w:ind w:left="21" w:hanging="9"/>
              <w:jc w:val="both"/>
              <w:rPr>
                <w:rFonts w:asciiTheme="minorHAnsi" w:hAnsiTheme="minorHAnsi" w:eastAsiaTheme="minorEastAsia" w:cstheme="minorBidi"/>
                <w:kern w:val="2"/>
                <w:sz w:val="21"/>
                <w:szCs w:val="24"/>
                <w:lang w:val="en-US" w:eastAsia="zh-CN" w:bidi="ar-SA"/>
              </w:rPr>
            </w:pPr>
            <w:r>
              <w:rPr>
                <w:rFonts w:hint="eastAsia"/>
                <w:color w:val="0000FF"/>
                <w:lang w:val="en-US" w:eastAsia="zh-CN"/>
              </w:rPr>
              <w:t>开通财务对账平台后台账号权限，医院财务人员能在互联网医院支付订单数据的后台查看、对账、撤销等功能。</w:t>
            </w:r>
          </w:p>
        </w:tc>
      </w:tr>
      <w:tr w14:paraId="49FF7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756" w:type="dxa"/>
            <w:shd w:val="clear" w:color="auto" w:fill="auto"/>
            <w:vAlign w:val="top"/>
          </w:tcPr>
          <w:p w14:paraId="34A07696">
            <w:pPr>
              <w:pStyle w:val="7"/>
              <w:spacing w:before="103"/>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3</w:t>
            </w:r>
          </w:p>
        </w:tc>
        <w:tc>
          <w:tcPr>
            <w:tcW w:w="1538" w:type="dxa"/>
            <w:shd w:val="clear" w:color="auto" w:fill="auto"/>
            <w:vAlign w:val="top"/>
          </w:tcPr>
          <w:p w14:paraId="03F8EB41">
            <w:pPr>
              <w:pStyle w:val="7"/>
              <w:spacing w:before="55" w:line="239" w:lineRule="auto"/>
              <w:ind w:left="549" w:leftChars="0" w:right="119" w:rightChars="0" w:hanging="419" w:firstLineChars="0"/>
              <w:rPr>
                <w:rFonts w:ascii="宋体" w:hAnsi="宋体" w:eastAsia="宋体" w:cs="宋体"/>
                <w:kern w:val="2"/>
                <w:sz w:val="21"/>
                <w:szCs w:val="21"/>
                <w:lang w:val="en-US" w:eastAsia="en-US" w:bidi="ar-SA"/>
              </w:rPr>
            </w:pPr>
            <w:r>
              <w:rPr>
                <w:spacing w:val="4"/>
              </w:rPr>
              <w:t>批量导入人员</w:t>
            </w:r>
            <w:r>
              <w:rPr>
                <w:spacing w:val="7"/>
              </w:rPr>
              <w:t>信息</w:t>
            </w:r>
          </w:p>
        </w:tc>
        <w:tc>
          <w:tcPr>
            <w:tcW w:w="6287" w:type="dxa"/>
            <w:shd w:val="clear" w:color="auto" w:fill="auto"/>
            <w:vAlign w:val="top"/>
          </w:tcPr>
          <w:p w14:paraId="10A52205">
            <w:pPr>
              <w:pStyle w:val="7"/>
              <w:spacing w:before="62" w:line="236" w:lineRule="auto"/>
              <w:ind w:left="101" w:leftChars="0" w:hanging="89" w:firstLineChars="0"/>
              <w:rPr>
                <w:rFonts w:hint="eastAsia" w:ascii="宋体" w:hAnsi="宋体" w:eastAsia="宋体" w:cs="宋体"/>
                <w:kern w:val="2"/>
                <w:sz w:val="21"/>
                <w:szCs w:val="21"/>
                <w:lang w:val="en-US" w:eastAsia="zh-CN" w:bidi="ar-SA"/>
              </w:rPr>
            </w:pPr>
            <w:r>
              <w:rPr>
                <w:spacing w:val="-3"/>
              </w:rPr>
              <w:t>下载医生/护士/药师/团队信息模板，上传医生信息</w:t>
            </w:r>
            <w:r>
              <w:rPr>
                <w:spacing w:val="-2"/>
              </w:rPr>
              <w:t>文件，下载已上传医生信息文件</w:t>
            </w:r>
            <w:r>
              <w:rPr>
                <w:rFonts w:hint="eastAsia"/>
                <w:spacing w:val="-2"/>
                <w:lang w:eastAsia="zh-CN"/>
              </w:rPr>
              <w:t>。</w:t>
            </w:r>
          </w:p>
        </w:tc>
      </w:tr>
      <w:tr w14:paraId="1919F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756" w:type="dxa"/>
            <w:shd w:val="clear" w:color="auto" w:fill="auto"/>
            <w:vAlign w:val="top"/>
          </w:tcPr>
          <w:p w14:paraId="651BC6F8">
            <w:pPr>
              <w:pStyle w:val="7"/>
              <w:spacing w:before="104"/>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4</w:t>
            </w:r>
          </w:p>
        </w:tc>
        <w:tc>
          <w:tcPr>
            <w:tcW w:w="1538" w:type="dxa"/>
            <w:shd w:val="clear" w:color="auto" w:fill="auto"/>
            <w:vAlign w:val="top"/>
          </w:tcPr>
          <w:p w14:paraId="4D3BB901">
            <w:pPr>
              <w:pStyle w:val="7"/>
              <w:spacing w:before="63" w:line="231" w:lineRule="auto"/>
              <w:ind w:left="549" w:leftChars="0" w:right="138" w:rightChars="0" w:hanging="419" w:firstLineChars="0"/>
              <w:rPr>
                <w:rFonts w:ascii="宋体" w:hAnsi="宋体" w:eastAsia="宋体" w:cs="宋体"/>
                <w:kern w:val="2"/>
                <w:sz w:val="21"/>
                <w:szCs w:val="21"/>
                <w:lang w:val="en-US" w:eastAsia="en-US" w:bidi="ar-SA"/>
              </w:rPr>
            </w:pPr>
            <w:r>
              <w:rPr>
                <w:spacing w:val="1"/>
              </w:rPr>
              <w:t>查看人员基本</w:t>
            </w:r>
            <w:r>
              <w:rPr>
                <w:spacing w:val="7"/>
              </w:rPr>
              <w:t>信息</w:t>
            </w:r>
          </w:p>
        </w:tc>
        <w:tc>
          <w:tcPr>
            <w:tcW w:w="6287" w:type="dxa"/>
            <w:shd w:val="clear" w:color="auto" w:fill="auto"/>
            <w:vAlign w:val="top"/>
          </w:tcPr>
          <w:p w14:paraId="7F6DA9EC">
            <w:pPr>
              <w:pStyle w:val="7"/>
              <w:spacing w:before="63" w:line="231" w:lineRule="auto"/>
              <w:ind w:left="90" w:leftChars="0" w:hanging="78" w:firstLineChars="0"/>
              <w:rPr>
                <w:rFonts w:hint="eastAsia" w:ascii="宋体" w:hAnsi="宋体" w:eastAsia="宋体" w:cs="宋体"/>
                <w:kern w:val="2"/>
                <w:sz w:val="21"/>
                <w:szCs w:val="21"/>
                <w:lang w:val="en-US" w:eastAsia="zh-CN" w:bidi="ar-SA"/>
              </w:rPr>
            </w:pPr>
            <w:r>
              <w:rPr>
                <w:spacing w:val="-11"/>
              </w:rPr>
              <w:t>修改医生/护士/药师/团队基本信息，注销医生账号，</w:t>
            </w:r>
            <w:r>
              <w:rPr>
                <w:spacing w:val="-5"/>
              </w:rPr>
              <w:t>生成医生二维码，医生是否开通</w:t>
            </w:r>
            <w:r>
              <w:rPr>
                <w:rFonts w:hint="eastAsia"/>
                <w:spacing w:val="-5"/>
                <w:lang w:val="en-US" w:eastAsia="zh-CN"/>
              </w:rPr>
              <w:t>等。</w:t>
            </w:r>
          </w:p>
        </w:tc>
      </w:tr>
      <w:tr w14:paraId="7A7DA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756" w:type="dxa"/>
            <w:shd w:val="clear" w:color="auto" w:fill="auto"/>
            <w:vAlign w:val="top"/>
          </w:tcPr>
          <w:p w14:paraId="37260CC5">
            <w:pPr>
              <w:pStyle w:val="7"/>
              <w:spacing w:before="95"/>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5</w:t>
            </w:r>
          </w:p>
        </w:tc>
        <w:tc>
          <w:tcPr>
            <w:tcW w:w="1538" w:type="dxa"/>
            <w:shd w:val="clear" w:color="auto" w:fill="auto"/>
            <w:vAlign w:val="top"/>
          </w:tcPr>
          <w:p w14:paraId="5A88B6F6">
            <w:pPr>
              <w:pStyle w:val="7"/>
              <w:spacing w:before="55" w:line="248" w:lineRule="auto"/>
              <w:ind w:left="549" w:leftChars="0" w:right="158" w:rightChars="0" w:hanging="419" w:firstLineChars="0"/>
              <w:rPr>
                <w:rFonts w:ascii="宋体" w:hAnsi="宋体" w:eastAsia="宋体" w:cs="宋体"/>
                <w:kern w:val="2"/>
                <w:sz w:val="21"/>
                <w:szCs w:val="21"/>
                <w:lang w:val="en-US" w:eastAsia="en-US" w:bidi="ar-SA"/>
              </w:rPr>
            </w:pPr>
            <w:r>
              <w:rPr>
                <w:spacing w:val="-2"/>
              </w:rPr>
              <w:t>查看人员执业</w:t>
            </w:r>
            <w:r>
              <w:rPr>
                <w:spacing w:val="7"/>
              </w:rPr>
              <w:t>信息</w:t>
            </w:r>
          </w:p>
        </w:tc>
        <w:tc>
          <w:tcPr>
            <w:tcW w:w="6287" w:type="dxa"/>
            <w:shd w:val="clear" w:color="auto" w:fill="auto"/>
            <w:vAlign w:val="top"/>
          </w:tcPr>
          <w:p w14:paraId="0FCB830F">
            <w:pPr>
              <w:pStyle w:val="7"/>
              <w:spacing w:before="56" w:line="244" w:lineRule="auto"/>
              <w:ind w:left="21" w:leftChars="0" w:hanging="9" w:firstLineChars="0"/>
              <w:jc w:val="both"/>
              <w:rPr>
                <w:rFonts w:hint="eastAsia" w:ascii="宋体" w:hAnsi="宋体" w:eastAsia="宋体" w:cs="宋体"/>
                <w:kern w:val="2"/>
                <w:sz w:val="21"/>
                <w:szCs w:val="21"/>
                <w:lang w:val="en-US" w:eastAsia="zh-CN" w:bidi="ar-SA"/>
              </w:rPr>
            </w:pPr>
            <w:r>
              <w:rPr>
                <w:spacing w:val="-3"/>
              </w:rPr>
              <w:t>添加医生/护士/药师/团队执业点，修改医生执业信</w:t>
            </w:r>
            <w:r>
              <w:t>息，删除医生已有执业信息，将医生已有执业信息</w:t>
            </w:r>
            <w:r>
              <w:rPr>
                <w:spacing w:val="14"/>
              </w:rPr>
              <w:t>设为第一执业点</w:t>
            </w:r>
            <w:r>
              <w:rPr>
                <w:rFonts w:hint="eastAsia"/>
                <w:spacing w:val="14"/>
                <w:lang w:eastAsia="zh-CN"/>
              </w:rPr>
              <w:t>。</w:t>
            </w:r>
          </w:p>
        </w:tc>
      </w:tr>
      <w:tr w14:paraId="1CA7B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C28D529">
            <w:pPr>
              <w:pStyle w:val="7"/>
              <w:spacing w:before="96"/>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6</w:t>
            </w:r>
          </w:p>
        </w:tc>
        <w:tc>
          <w:tcPr>
            <w:tcW w:w="1538" w:type="dxa"/>
            <w:shd w:val="clear" w:color="auto" w:fill="auto"/>
            <w:vAlign w:val="top"/>
          </w:tcPr>
          <w:p w14:paraId="397D3683">
            <w:pPr>
              <w:pStyle w:val="7"/>
              <w:spacing w:before="66" w:line="219" w:lineRule="auto"/>
              <w:ind w:left="130" w:leftChars="0"/>
              <w:rPr>
                <w:rFonts w:ascii="宋体" w:hAnsi="宋体" w:eastAsia="宋体" w:cs="宋体"/>
                <w:kern w:val="2"/>
                <w:sz w:val="21"/>
                <w:szCs w:val="21"/>
                <w:lang w:val="en-US" w:eastAsia="en-US" w:bidi="ar-SA"/>
              </w:rPr>
            </w:pPr>
            <w:r>
              <w:rPr>
                <w:spacing w:val="2"/>
              </w:rPr>
              <w:t>问诊业务数据</w:t>
            </w:r>
          </w:p>
        </w:tc>
        <w:tc>
          <w:tcPr>
            <w:tcW w:w="6287" w:type="dxa"/>
            <w:shd w:val="clear" w:color="auto" w:fill="auto"/>
            <w:vAlign w:val="top"/>
          </w:tcPr>
          <w:p w14:paraId="45B7BD93">
            <w:pPr>
              <w:pStyle w:val="7"/>
              <w:spacing w:before="55" w:line="247" w:lineRule="auto"/>
              <w:ind w:left="22" w:leftChars="0"/>
              <w:jc w:val="both"/>
              <w:rPr>
                <w:rFonts w:hint="eastAsia" w:ascii="宋体" w:hAnsi="宋体" w:eastAsia="宋体" w:cs="宋体"/>
                <w:kern w:val="2"/>
                <w:sz w:val="21"/>
                <w:szCs w:val="21"/>
                <w:lang w:val="en-US" w:eastAsia="zh-CN" w:bidi="ar-SA"/>
              </w:rPr>
            </w:pPr>
            <w:r>
              <w:rPr>
                <w:spacing w:val="1"/>
              </w:rPr>
              <w:t>根据申请时间、所有目标机构、状态、咨询方式、目标医生、患者、医患沟通记录、电子病历详情、</w:t>
            </w:r>
            <w:r>
              <w:rPr>
                <w:spacing w:val="-3"/>
              </w:rPr>
              <w:t>咨询单轨迹、精确查询，</w:t>
            </w:r>
            <w:r>
              <w:rPr>
                <w:color w:val="002020"/>
                <w:spacing w:val="-3"/>
              </w:rPr>
              <w:t>导出数据，查看咨询单详</w:t>
            </w:r>
            <w:r>
              <w:rPr>
                <w:spacing w:val="46"/>
              </w:rPr>
              <w:t>情</w:t>
            </w:r>
            <w:r>
              <w:rPr>
                <w:rFonts w:hint="eastAsia"/>
                <w:spacing w:val="46"/>
                <w:lang w:eastAsia="zh-CN"/>
              </w:rPr>
              <w:t>。</w:t>
            </w:r>
          </w:p>
        </w:tc>
      </w:tr>
      <w:tr w14:paraId="66171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56" w:type="dxa"/>
            <w:shd w:val="clear" w:color="auto" w:fill="auto"/>
            <w:vAlign w:val="top"/>
          </w:tcPr>
          <w:p w14:paraId="7F693539">
            <w:pPr>
              <w:pStyle w:val="7"/>
              <w:spacing w:before="88"/>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7</w:t>
            </w:r>
          </w:p>
        </w:tc>
        <w:tc>
          <w:tcPr>
            <w:tcW w:w="1538" w:type="dxa"/>
            <w:shd w:val="clear" w:color="auto" w:fill="auto"/>
            <w:vAlign w:val="top"/>
          </w:tcPr>
          <w:p w14:paraId="1DD03711">
            <w:pPr>
              <w:pStyle w:val="7"/>
              <w:spacing w:before="66" w:line="219" w:lineRule="auto"/>
              <w:ind w:left="239" w:leftChars="0"/>
              <w:rPr>
                <w:rFonts w:ascii="宋体" w:hAnsi="宋体" w:eastAsia="宋体" w:cs="宋体"/>
                <w:kern w:val="2"/>
                <w:sz w:val="21"/>
                <w:szCs w:val="21"/>
                <w:lang w:val="en-US" w:eastAsia="en-US" w:bidi="ar-SA"/>
              </w:rPr>
            </w:pPr>
            <w:r>
              <w:rPr>
                <w:spacing w:val="2"/>
              </w:rPr>
              <w:t>药品供应端</w:t>
            </w:r>
          </w:p>
        </w:tc>
        <w:tc>
          <w:tcPr>
            <w:tcW w:w="6287" w:type="dxa"/>
            <w:shd w:val="clear" w:color="auto" w:fill="auto"/>
            <w:vAlign w:val="top"/>
          </w:tcPr>
          <w:p w14:paraId="4B10C4AC">
            <w:pPr>
              <w:pStyle w:val="7"/>
              <w:spacing w:before="68" w:line="220" w:lineRule="auto"/>
              <w:ind w:left="92" w:leftChars="0"/>
              <w:rPr>
                <w:rFonts w:hint="eastAsia" w:ascii="宋体" w:hAnsi="宋体" w:eastAsia="宋体" w:cs="宋体"/>
                <w:kern w:val="2"/>
                <w:sz w:val="21"/>
                <w:szCs w:val="21"/>
                <w:lang w:val="en-US" w:eastAsia="zh-CN" w:bidi="ar-SA"/>
              </w:rPr>
            </w:pPr>
            <w:r>
              <w:rPr>
                <w:spacing w:val="1"/>
              </w:rPr>
              <w:t>统计购药订单详情</w:t>
            </w:r>
            <w:r>
              <w:rPr>
                <w:rFonts w:hint="eastAsia"/>
                <w:spacing w:val="1"/>
                <w:lang w:eastAsia="zh-CN"/>
              </w:rPr>
              <w:t>。</w:t>
            </w:r>
          </w:p>
        </w:tc>
      </w:tr>
      <w:tr w14:paraId="002FA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42A4763A">
            <w:pPr>
              <w:pStyle w:val="7"/>
              <w:spacing w:before="89"/>
              <w:ind w:left="84"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8</w:t>
            </w:r>
          </w:p>
        </w:tc>
        <w:tc>
          <w:tcPr>
            <w:tcW w:w="1538" w:type="dxa"/>
            <w:shd w:val="clear" w:color="auto" w:fill="auto"/>
            <w:vAlign w:val="top"/>
          </w:tcPr>
          <w:p w14:paraId="08B8C69D">
            <w:pPr>
              <w:pStyle w:val="7"/>
              <w:spacing w:before="48" w:line="219" w:lineRule="auto"/>
              <w:rPr>
                <w:rFonts w:ascii="宋体" w:hAnsi="宋体" w:eastAsia="宋体" w:cs="宋体"/>
                <w:kern w:val="2"/>
                <w:sz w:val="21"/>
                <w:szCs w:val="21"/>
                <w:lang w:val="en-US" w:eastAsia="en-US" w:bidi="ar-SA"/>
              </w:rPr>
            </w:pPr>
            <w:r>
              <w:rPr>
                <w:spacing w:val="2"/>
              </w:rPr>
              <w:t>▲处方监管</w:t>
            </w:r>
          </w:p>
        </w:tc>
        <w:tc>
          <w:tcPr>
            <w:tcW w:w="6287" w:type="dxa"/>
            <w:shd w:val="clear" w:color="auto" w:fill="auto"/>
            <w:vAlign w:val="top"/>
          </w:tcPr>
          <w:p w14:paraId="0C571ACE">
            <w:pPr>
              <w:pStyle w:val="7"/>
              <w:spacing w:before="67" w:line="219" w:lineRule="auto"/>
              <w:jc w:val="both"/>
              <w:rPr>
                <w:rFonts w:ascii="宋体" w:hAnsi="宋体" w:eastAsia="宋体" w:cs="宋体"/>
                <w:kern w:val="2"/>
                <w:sz w:val="21"/>
                <w:szCs w:val="21"/>
                <w:lang w:val="en-US" w:eastAsia="en-US" w:bidi="ar-SA"/>
              </w:rPr>
            </w:pPr>
            <w:r>
              <w:rPr>
                <w:color w:val="001020"/>
                <w:spacing w:val="-8"/>
              </w:rPr>
              <w:t>根据开方时间或审核时间、时间、开方机构、状态、</w:t>
            </w:r>
            <w:r>
              <w:rPr>
                <w:spacing w:val="-1"/>
              </w:rPr>
              <w:t>开方科室、患者、申请医生、诊断、订单配送方式精确查询，重置查询条件，导出数据，</w:t>
            </w:r>
            <w:r>
              <w:rPr>
                <w:color w:val="001020"/>
                <w:spacing w:val="-1"/>
              </w:rPr>
              <w:t>查看处方单</w:t>
            </w:r>
            <w:r>
              <w:rPr>
                <w:spacing w:val="6"/>
              </w:rPr>
              <w:t>详情、处方药品明细。</w:t>
            </w:r>
          </w:p>
        </w:tc>
      </w:tr>
      <w:tr w14:paraId="6300F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756" w:type="dxa"/>
            <w:shd w:val="clear" w:color="auto" w:fill="auto"/>
            <w:vAlign w:val="top"/>
          </w:tcPr>
          <w:p w14:paraId="1785541E">
            <w:pPr>
              <w:pStyle w:val="7"/>
              <w:spacing w:before="84"/>
              <w:ind w:left="95" w:leftChars="0"/>
              <w:rPr>
                <w:rFonts w:hint="eastAsia" w:ascii="宋体" w:hAnsi="宋体" w:eastAsia="宋体" w:cs="宋体"/>
                <w:kern w:val="2"/>
                <w:sz w:val="21"/>
                <w:szCs w:val="21"/>
                <w:lang w:val="en-US" w:eastAsia="zh-CN" w:bidi="ar-SA"/>
              </w:rPr>
            </w:pPr>
            <w:r>
              <w:rPr>
                <w:spacing w:val="-3"/>
              </w:rPr>
              <w:t>6</w:t>
            </w:r>
            <w:r>
              <w:rPr>
                <w:rFonts w:hint="eastAsia"/>
                <w:spacing w:val="-3"/>
                <w:lang w:val="en-US" w:eastAsia="zh-CN"/>
              </w:rPr>
              <w:t>9</w:t>
            </w:r>
          </w:p>
        </w:tc>
        <w:tc>
          <w:tcPr>
            <w:tcW w:w="1538" w:type="dxa"/>
            <w:shd w:val="clear" w:color="auto" w:fill="auto"/>
            <w:vAlign w:val="top"/>
          </w:tcPr>
          <w:p w14:paraId="11B5A868">
            <w:pPr>
              <w:pStyle w:val="7"/>
              <w:spacing w:before="63" w:line="233" w:lineRule="auto"/>
              <w:ind w:left="660" w:leftChars="0" w:right="138" w:rightChars="0" w:hanging="530" w:firstLineChars="0"/>
              <w:rPr>
                <w:rFonts w:ascii="宋体" w:hAnsi="宋体" w:eastAsia="宋体" w:cs="宋体"/>
                <w:kern w:val="2"/>
                <w:sz w:val="21"/>
                <w:szCs w:val="21"/>
                <w:lang w:val="en-US" w:eastAsia="en-US" w:bidi="ar-SA"/>
              </w:rPr>
            </w:pPr>
            <w:r>
              <w:rPr>
                <w:spacing w:val="1"/>
              </w:rPr>
              <w:t>问诊完成量统</w:t>
            </w:r>
            <w:r>
              <w:t>计</w:t>
            </w:r>
          </w:p>
        </w:tc>
        <w:tc>
          <w:tcPr>
            <w:tcW w:w="6287" w:type="dxa"/>
            <w:shd w:val="clear" w:color="auto" w:fill="auto"/>
            <w:vAlign w:val="top"/>
          </w:tcPr>
          <w:p w14:paraId="3E15746D">
            <w:pPr>
              <w:pStyle w:val="7"/>
              <w:spacing w:before="43" w:line="242" w:lineRule="auto"/>
              <w:ind w:left="111" w:leftChars="0" w:right="21" w:rightChars="0" w:hanging="79" w:firstLineChars="0"/>
              <w:rPr>
                <w:rFonts w:hint="eastAsia" w:ascii="宋体" w:hAnsi="宋体" w:eastAsia="宋体" w:cs="宋体"/>
                <w:kern w:val="2"/>
                <w:sz w:val="21"/>
                <w:szCs w:val="21"/>
                <w:lang w:val="en-US" w:eastAsia="zh-CN" w:bidi="ar-SA"/>
              </w:rPr>
            </w:pPr>
            <w:r>
              <w:t>统计分析线上业务订单完成情况，多维度分析，为管理科室提供分析管理工具</w:t>
            </w:r>
            <w:r>
              <w:rPr>
                <w:rFonts w:hint="eastAsia"/>
                <w:lang w:eastAsia="zh-CN"/>
              </w:rPr>
              <w:t>。</w:t>
            </w:r>
          </w:p>
        </w:tc>
      </w:tr>
      <w:tr w14:paraId="4297E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756" w:type="dxa"/>
            <w:shd w:val="clear" w:color="auto" w:fill="auto"/>
            <w:vAlign w:val="top"/>
          </w:tcPr>
          <w:p w14:paraId="11CC9E70">
            <w:pPr>
              <w:pStyle w:val="7"/>
              <w:spacing w:before="60" w:line="192" w:lineRule="auto"/>
              <w:ind w:left="95" w:leftChars="0"/>
              <w:rPr>
                <w:rFonts w:hint="default" w:ascii="宋体" w:hAnsi="宋体" w:eastAsia="宋体" w:cs="宋体"/>
                <w:kern w:val="2"/>
                <w:sz w:val="21"/>
                <w:szCs w:val="21"/>
                <w:lang w:val="en-US" w:eastAsia="zh-CN" w:bidi="ar-SA"/>
              </w:rPr>
            </w:pPr>
            <w:r>
              <w:rPr>
                <w:rFonts w:hint="eastAsia" w:cs="宋体"/>
                <w:kern w:val="2"/>
                <w:sz w:val="21"/>
                <w:szCs w:val="21"/>
                <w:lang w:val="en-US" w:eastAsia="zh-CN" w:bidi="ar-SA"/>
              </w:rPr>
              <w:t>70</w:t>
            </w:r>
          </w:p>
        </w:tc>
        <w:tc>
          <w:tcPr>
            <w:tcW w:w="1538" w:type="dxa"/>
            <w:shd w:val="clear" w:color="auto" w:fill="auto"/>
            <w:vAlign w:val="top"/>
          </w:tcPr>
          <w:p w14:paraId="5AA2496F">
            <w:pPr>
              <w:pStyle w:val="7"/>
              <w:spacing w:before="38" w:line="211" w:lineRule="auto"/>
              <w:ind w:left="240" w:leftChars="0"/>
              <w:rPr>
                <w:rFonts w:ascii="宋体" w:hAnsi="宋体" w:eastAsia="宋体" w:cs="宋体"/>
                <w:kern w:val="2"/>
                <w:sz w:val="21"/>
                <w:szCs w:val="21"/>
                <w:lang w:val="en-US" w:eastAsia="en-US" w:bidi="ar-SA"/>
              </w:rPr>
            </w:pPr>
            <w:r>
              <w:rPr>
                <w:spacing w:val="-2"/>
              </w:rPr>
              <w:t>配送商效率</w:t>
            </w:r>
          </w:p>
        </w:tc>
        <w:tc>
          <w:tcPr>
            <w:tcW w:w="6287" w:type="dxa"/>
            <w:shd w:val="clear" w:color="auto" w:fill="auto"/>
            <w:vAlign w:val="top"/>
          </w:tcPr>
          <w:p w14:paraId="435CDF40">
            <w:pPr>
              <w:pStyle w:val="7"/>
              <w:spacing w:before="38" w:line="211" w:lineRule="auto"/>
              <w:ind w:left="102" w:leftChars="0"/>
              <w:rPr>
                <w:rFonts w:hint="eastAsia" w:ascii="宋体" w:hAnsi="宋体" w:eastAsia="宋体" w:cs="宋体"/>
                <w:kern w:val="2"/>
                <w:sz w:val="21"/>
                <w:szCs w:val="21"/>
                <w:lang w:val="en-US" w:eastAsia="zh-CN" w:bidi="ar-SA"/>
              </w:rPr>
            </w:pPr>
            <w:r>
              <w:t>统计药品订单的配送效率</w:t>
            </w:r>
            <w:r>
              <w:rPr>
                <w:rFonts w:hint="eastAsia"/>
                <w:lang w:eastAsia="zh-CN"/>
              </w:rPr>
              <w:t>。</w:t>
            </w:r>
          </w:p>
        </w:tc>
      </w:tr>
      <w:tr w14:paraId="20A25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0" w:type="auto"/>
            <w:shd w:val="clear" w:color="auto" w:fill="auto"/>
            <w:vAlign w:val="top"/>
          </w:tcPr>
          <w:p w14:paraId="5A72F4E9">
            <w:pPr>
              <w:pStyle w:val="7"/>
              <w:spacing w:before="91"/>
              <w:ind w:left="95" w:leftChars="0"/>
              <w:rPr>
                <w:rFonts w:hint="eastAsia" w:ascii="宋体" w:hAnsi="宋体" w:eastAsia="宋体" w:cs="宋体"/>
                <w:kern w:val="2"/>
                <w:sz w:val="21"/>
                <w:szCs w:val="21"/>
                <w:lang w:val="en-US" w:eastAsia="zh-CN" w:bidi="ar-SA"/>
              </w:rPr>
            </w:pPr>
            <w:r>
              <w:rPr>
                <w:spacing w:val="-4"/>
              </w:rPr>
              <w:t>7</w:t>
            </w:r>
            <w:r>
              <w:rPr>
                <w:rFonts w:hint="eastAsia"/>
                <w:spacing w:val="-4"/>
                <w:lang w:val="en-US" w:eastAsia="zh-CN"/>
              </w:rPr>
              <w:t>1</w:t>
            </w:r>
          </w:p>
        </w:tc>
        <w:tc>
          <w:tcPr>
            <w:tcW w:w="0" w:type="auto"/>
            <w:shd w:val="clear" w:color="auto" w:fill="auto"/>
            <w:vAlign w:val="top"/>
          </w:tcPr>
          <w:p w14:paraId="3CA924F5">
            <w:pPr>
              <w:pStyle w:val="7"/>
              <w:spacing w:before="49" w:line="219" w:lineRule="auto"/>
              <w:ind w:left="130" w:leftChars="0"/>
              <w:rPr>
                <w:rFonts w:ascii="宋体" w:hAnsi="宋体" w:eastAsia="宋体" w:cs="宋体"/>
                <w:kern w:val="2"/>
                <w:sz w:val="21"/>
                <w:szCs w:val="21"/>
                <w:lang w:val="en-US" w:eastAsia="en-US" w:bidi="ar-SA"/>
              </w:rPr>
            </w:pPr>
            <w:r>
              <w:rPr>
                <w:spacing w:val="2"/>
              </w:rPr>
              <w:t>医生科室数据</w:t>
            </w:r>
          </w:p>
        </w:tc>
        <w:tc>
          <w:tcPr>
            <w:tcW w:w="6287" w:type="dxa"/>
            <w:shd w:val="clear" w:color="auto" w:fill="auto"/>
            <w:vAlign w:val="top"/>
          </w:tcPr>
          <w:p w14:paraId="11FE8674">
            <w:pPr>
              <w:pStyle w:val="7"/>
              <w:spacing w:before="59" w:line="219" w:lineRule="auto"/>
              <w:ind w:left="112" w:leftChars="0"/>
              <w:rPr>
                <w:rFonts w:hint="eastAsia" w:ascii="宋体" w:hAnsi="宋体" w:eastAsia="宋体" w:cs="宋体"/>
                <w:kern w:val="2"/>
                <w:sz w:val="21"/>
                <w:szCs w:val="21"/>
                <w:lang w:val="en-US" w:eastAsia="zh-CN" w:bidi="ar-SA"/>
              </w:rPr>
            </w:pPr>
            <w:r>
              <w:rPr>
                <w:spacing w:val="-1"/>
              </w:rPr>
              <w:t>按医生、科室维度对开方数据进行分析统计</w:t>
            </w:r>
            <w:r>
              <w:rPr>
                <w:rFonts w:hint="eastAsia"/>
                <w:spacing w:val="-1"/>
                <w:lang w:eastAsia="zh-CN"/>
              </w:rPr>
              <w:t>。</w:t>
            </w:r>
          </w:p>
        </w:tc>
      </w:tr>
      <w:tr w14:paraId="2A173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0" w:type="auto"/>
            <w:shd w:val="clear" w:color="auto" w:fill="auto"/>
            <w:vAlign w:val="top"/>
          </w:tcPr>
          <w:p w14:paraId="0FAC8C40">
            <w:pPr>
              <w:pStyle w:val="7"/>
              <w:spacing w:before="72"/>
              <w:ind w:left="95" w:leftChars="0"/>
              <w:rPr>
                <w:rFonts w:hint="eastAsia" w:ascii="宋体" w:hAnsi="宋体" w:eastAsia="宋体" w:cs="宋体"/>
                <w:kern w:val="2"/>
                <w:sz w:val="21"/>
                <w:szCs w:val="21"/>
                <w:lang w:val="en-US" w:eastAsia="zh-CN" w:bidi="ar-SA"/>
              </w:rPr>
            </w:pPr>
            <w:r>
              <w:rPr>
                <w:spacing w:val="-4"/>
              </w:rPr>
              <w:t>7</w:t>
            </w:r>
            <w:r>
              <w:rPr>
                <w:rFonts w:hint="eastAsia"/>
                <w:spacing w:val="-4"/>
                <w:lang w:val="en-US" w:eastAsia="zh-CN"/>
              </w:rPr>
              <w:t>2</w:t>
            </w:r>
          </w:p>
        </w:tc>
        <w:tc>
          <w:tcPr>
            <w:tcW w:w="0" w:type="auto"/>
            <w:shd w:val="clear" w:color="auto" w:fill="auto"/>
            <w:vAlign w:val="top"/>
          </w:tcPr>
          <w:p w14:paraId="2DBA0035">
            <w:pPr>
              <w:pStyle w:val="7"/>
              <w:spacing w:before="41" w:line="219" w:lineRule="auto"/>
              <w:ind w:left="240" w:leftChars="0"/>
              <w:rPr>
                <w:rFonts w:ascii="宋体" w:hAnsi="宋体" w:eastAsia="宋体" w:cs="宋体"/>
                <w:kern w:val="2"/>
                <w:sz w:val="21"/>
                <w:szCs w:val="21"/>
                <w:lang w:val="en-US" w:eastAsia="en-US" w:bidi="ar-SA"/>
              </w:rPr>
            </w:pPr>
            <w:r>
              <w:rPr>
                <w:spacing w:val="-2"/>
              </w:rPr>
              <w:t>开方医生数</w:t>
            </w:r>
          </w:p>
        </w:tc>
        <w:tc>
          <w:tcPr>
            <w:tcW w:w="6287" w:type="dxa"/>
            <w:shd w:val="clear" w:color="auto" w:fill="auto"/>
            <w:vAlign w:val="top"/>
          </w:tcPr>
          <w:p w14:paraId="4527C130">
            <w:pPr>
              <w:pStyle w:val="7"/>
              <w:spacing w:before="50" w:line="219" w:lineRule="auto"/>
              <w:ind w:left="102" w:leftChars="0"/>
              <w:rPr>
                <w:rFonts w:hint="eastAsia" w:ascii="宋体" w:hAnsi="宋体" w:eastAsia="宋体" w:cs="宋体"/>
                <w:kern w:val="2"/>
                <w:sz w:val="21"/>
                <w:szCs w:val="21"/>
                <w:lang w:val="en-US" w:eastAsia="zh-CN" w:bidi="ar-SA"/>
              </w:rPr>
            </w:pPr>
            <w:r>
              <w:rPr>
                <w:spacing w:val="-1"/>
              </w:rPr>
              <w:t>根据行政机构，统计线上开方医生数</w:t>
            </w:r>
            <w:r>
              <w:rPr>
                <w:rFonts w:hint="eastAsia"/>
                <w:spacing w:val="-1"/>
                <w:lang w:eastAsia="zh-CN"/>
              </w:rPr>
              <w:t>。</w:t>
            </w:r>
          </w:p>
        </w:tc>
      </w:tr>
      <w:tr w14:paraId="61199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581" w:type="dxa"/>
            <w:gridSpan w:val="3"/>
            <w:shd w:val="clear" w:color="auto" w:fill="auto"/>
            <w:vAlign w:val="center"/>
          </w:tcPr>
          <w:p w14:paraId="4F401604">
            <w:pPr>
              <w:pStyle w:val="7"/>
              <w:spacing w:before="58" w:line="225" w:lineRule="auto"/>
              <w:ind w:left="270" w:leftChars="0" w:right="73" w:rightChars="0" w:hanging="209" w:firstLineChars="0"/>
              <w:jc w:val="center"/>
              <w:rPr>
                <w:rFonts w:ascii="宋体" w:hAnsi="宋体" w:eastAsia="宋体" w:cs="宋体"/>
                <w:kern w:val="2"/>
                <w:sz w:val="21"/>
                <w:szCs w:val="21"/>
                <w:lang w:val="en-US" w:eastAsia="en-US" w:bidi="ar-SA"/>
              </w:rPr>
            </w:pPr>
            <w:r>
              <w:rPr>
                <w:spacing w:val="-2"/>
              </w:rPr>
              <w:t>线上线下一体化管理</w:t>
            </w:r>
          </w:p>
        </w:tc>
      </w:tr>
      <w:tr w14:paraId="4B27F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0" w:type="auto"/>
            <w:shd w:val="clear" w:color="auto" w:fill="auto"/>
            <w:vAlign w:val="top"/>
          </w:tcPr>
          <w:p w14:paraId="64218393">
            <w:pPr>
              <w:pStyle w:val="7"/>
              <w:spacing w:before="73"/>
              <w:ind w:left="95" w:leftChars="0"/>
              <w:rPr>
                <w:rFonts w:hint="eastAsia" w:ascii="宋体" w:hAnsi="宋体" w:eastAsia="宋体" w:cs="宋体"/>
                <w:color w:val="3A00FF"/>
                <w:kern w:val="2"/>
                <w:sz w:val="21"/>
                <w:szCs w:val="21"/>
                <w:lang w:val="en-US" w:eastAsia="zh-CN" w:bidi="ar-SA"/>
              </w:rPr>
            </w:pPr>
            <w:r>
              <w:rPr>
                <w:color w:val="3A00FF"/>
                <w:spacing w:val="-4"/>
              </w:rPr>
              <w:t>7</w:t>
            </w:r>
            <w:r>
              <w:rPr>
                <w:rFonts w:hint="eastAsia"/>
                <w:color w:val="3A00FF"/>
                <w:spacing w:val="-4"/>
                <w:lang w:val="en-US" w:eastAsia="zh-CN"/>
              </w:rPr>
              <w:t>3</w:t>
            </w:r>
          </w:p>
        </w:tc>
        <w:tc>
          <w:tcPr>
            <w:tcW w:w="0" w:type="auto"/>
            <w:shd w:val="clear" w:color="auto" w:fill="auto"/>
            <w:vAlign w:val="top"/>
          </w:tcPr>
          <w:p w14:paraId="7041FBDE">
            <w:pPr>
              <w:pStyle w:val="7"/>
              <w:spacing w:before="53" w:line="221" w:lineRule="auto"/>
              <w:rPr>
                <w:rFonts w:ascii="宋体" w:hAnsi="宋体" w:eastAsia="宋体" w:cs="宋体"/>
                <w:color w:val="3A00FF"/>
                <w:kern w:val="2"/>
                <w:sz w:val="21"/>
                <w:szCs w:val="21"/>
                <w:lang w:val="en-US" w:eastAsia="en-US" w:bidi="ar-SA"/>
              </w:rPr>
            </w:pPr>
            <w:r>
              <w:rPr>
                <w:color w:val="3A00FF"/>
                <w:spacing w:val="4"/>
              </w:rPr>
              <w:t>▲</w:t>
            </w:r>
            <w:r>
              <w:rPr>
                <w:color w:val="3A00FF"/>
              </w:rPr>
              <w:t>HIS</w:t>
            </w:r>
            <w:r>
              <w:rPr>
                <w:color w:val="3A00FF"/>
                <w:spacing w:val="4"/>
              </w:rPr>
              <w:t>系统深</w:t>
            </w:r>
            <w:r>
              <w:rPr>
                <w:color w:val="3A00FF"/>
                <w:spacing w:val="-2"/>
              </w:rPr>
              <w:t>度对接</w:t>
            </w:r>
          </w:p>
        </w:tc>
        <w:tc>
          <w:tcPr>
            <w:tcW w:w="6287" w:type="dxa"/>
            <w:shd w:val="clear" w:color="auto" w:fill="auto"/>
            <w:vAlign w:val="top"/>
          </w:tcPr>
          <w:p w14:paraId="6F7DDA67">
            <w:pPr>
              <w:pStyle w:val="7"/>
              <w:spacing w:before="48" w:line="257" w:lineRule="auto"/>
              <w:ind w:left="32" w:leftChars="0" w:firstLine="49" w:firstLineChars="0"/>
              <w:jc w:val="both"/>
              <w:rPr>
                <w:rFonts w:ascii="宋体" w:hAnsi="宋体" w:eastAsia="宋体" w:cs="宋体"/>
                <w:color w:val="3A00FF"/>
                <w:kern w:val="2"/>
                <w:sz w:val="21"/>
                <w:szCs w:val="21"/>
                <w:lang w:val="en-US" w:eastAsia="en-US" w:bidi="ar-SA"/>
              </w:rPr>
            </w:pPr>
            <w:r>
              <w:rPr>
                <w:rFonts w:hint="eastAsia"/>
                <w:color w:val="3A00FF"/>
              </w:rPr>
              <w:t>完成互联网医院平台与院内HIS系统深度、标准化对接，落实线上线下一体化诊疗建设要求，保障线上线下医疗业务规则、数据标准、诊疗逻辑高度统一。系统需严格同步院内处方开具规范、合理用药标准、处方审核规则等核心业务逻辑，确保线上线下处方内容、电子病历内容等医疗数据结构化、标准化一致。实现互联网医院所有线上诊疗数据实时同步回写院内HIS系统，涵盖线上就诊记录、电子处方、电子病历、检查检验单、线上挂号记录等全量业务数据。同时支持医护人员线上调取查看患者线下门诊就诊记录、历史诊疗数据、检查检验报告等信息，全面实现线上线下患者诊疗数据互联互通、一体化管理。</w:t>
            </w:r>
            <w:r>
              <w:rPr>
                <w:rFonts w:hint="eastAsia"/>
                <w:color w:val="3A00FF"/>
                <w:lang w:eastAsia="zh-CN"/>
              </w:rPr>
              <w:t>（</w:t>
            </w:r>
            <w:r>
              <w:rPr>
                <w:rFonts w:hint="eastAsia"/>
                <w:color w:val="3A00FF"/>
              </w:rPr>
              <w:t>需服务商提供专项合规承诺函</w:t>
            </w:r>
            <w:r>
              <w:rPr>
                <w:rFonts w:hint="eastAsia"/>
                <w:color w:val="3A00FF"/>
                <w:lang w:eastAsia="zh-CN"/>
              </w:rPr>
              <w:t>）</w:t>
            </w:r>
          </w:p>
        </w:tc>
      </w:tr>
      <w:tr w14:paraId="1E66E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trPr>
        <w:tc>
          <w:tcPr>
            <w:tcW w:w="8581" w:type="dxa"/>
            <w:gridSpan w:val="3"/>
            <w:shd w:val="clear" w:color="auto" w:fill="auto"/>
            <w:vAlign w:val="center"/>
          </w:tcPr>
          <w:p w14:paraId="423E0F31">
            <w:pPr>
              <w:pStyle w:val="7"/>
              <w:spacing w:before="58" w:line="225" w:lineRule="auto"/>
              <w:ind w:left="270" w:leftChars="0" w:right="73" w:rightChars="0" w:hanging="209" w:firstLineChars="0"/>
              <w:jc w:val="center"/>
              <w:rPr>
                <w:rFonts w:ascii="宋体" w:hAnsi="宋体" w:eastAsia="宋体" w:cs="宋体"/>
                <w:kern w:val="2"/>
                <w:sz w:val="21"/>
                <w:szCs w:val="21"/>
                <w:lang w:val="en-US" w:eastAsia="en-US" w:bidi="ar-SA"/>
              </w:rPr>
            </w:pPr>
            <w:r>
              <w:rPr>
                <w:spacing w:val="-3"/>
              </w:rPr>
              <w:t>部署方式</w:t>
            </w:r>
          </w:p>
        </w:tc>
      </w:tr>
      <w:tr w14:paraId="5340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0" w:type="auto"/>
            <w:shd w:val="clear" w:color="auto" w:fill="auto"/>
            <w:vAlign w:val="top"/>
          </w:tcPr>
          <w:p w14:paraId="54D73892">
            <w:pPr>
              <w:pStyle w:val="7"/>
              <w:spacing w:before="76"/>
              <w:ind w:left="95" w:leftChars="0"/>
              <w:rPr>
                <w:rFonts w:hint="eastAsia" w:ascii="宋体" w:hAnsi="宋体" w:eastAsia="宋体" w:cs="宋体"/>
                <w:kern w:val="2"/>
                <w:sz w:val="21"/>
                <w:szCs w:val="21"/>
                <w:lang w:val="en-US" w:eastAsia="zh-CN" w:bidi="ar-SA"/>
              </w:rPr>
            </w:pPr>
            <w:r>
              <w:rPr>
                <w:spacing w:val="-4"/>
              </w:rPr>
              <w:t>7</w:t>
            </w:r>
            <w:r>
              <w:rPr>
                <w:rFonts w:hint="eastAsia"/>
                <w:spacing w:val="-4"/>
                <w:lang w:val="en-US" w:eastAsia="zh-CN"/>
              </w:rPr>
              <w:t>4</w:t>
            </w:r>
          </w:p>
        </w:tc>
        <w:tc>
          <w:tcPr>
            <w:tcW w:w="0" w:type="auto"/>
            <w:shd w:val="clear" w:color="auto" w:fill="auto"/>
            <w:vAlign w:val="top"/>
          </w:tcPr>
          <w:p w14:paraId="6600E1BC">
            <w:pPr>
              <w:pStyle w:val="7"/>
              <w:spacing w:before="55" w:line="219" w:lineRule="auto"/>
              <w:ind w:left="30" w:leftChars="0"/>
              <w:rPr>
                <w:rFonts w:ascii="宋体" w:hAnsi="宋体" w:eastAsia="宋体" w:cs="宋体"/>
                <w:kern w:val="2"/>
                <w:sz w:val="21"/>
                <w:szCs w:val="21"/>
                <w:lang w:val="en-US" w:eastAsia="en-US" w:bidi="ar-SA"/>
              </w:rPr>
            </w:pPr>
            <w:r>
              <w:rPr>
                <w:spacing w:val="1"/>
              </w:rPr>
              <w:t>▲服务、数据库完全本地化部</w:t>
            </w:r>
            <w:r>
              <w:t>署</w:t>
            </w:r>
          </w:p>
        </w:tc>
        <w:tc>
          <w:tcPr>
            <w:tcW w:w="6287" w:type="dxa"/>
            <w:shd w:val="clear" w:color="auto" w:fill="auto"/>
            <w:vAlign w:val="top"/>
          </w:tcPr>
          <w:p w14:paraId="5EA710DD">
            <w:pPr>
              <w:pStyle w:val="7"/>
              <w:spacing w:before="67" w:line="253" w:lineRule="auto"/>
              <w:ind w:left="32" w:leftChars="0" w:right="16" w:rightChars="0"/>
              <w:jc w:val="both"/>
              <w:rPr>
                <w:rFonts w:ascii="宋体" w:hAnsi="宋体" w:eastAsia="宋体" w:cs="宋体"/>
                <w:kern w:val="2"/>
                <w:sz w:val="21"/>
                <w:szCs w:val="21"/>
                <w:lang w:val="en-US" w:eastAsia="en-US" w:bidi="ar-SA"/>
              </w:rPr>
            </w:pPr>
            <w:r>
              <w:rPr>
                <w:rFonts w:hint="eastAsia"/>
                <w:color w:val="0000FF"/>
              </w:rPr>
              <w:t>实现互联网医院平台业务系统、核心数据库全量本地化部署，贴合国家互联网医疗最新政策标准及行业评测规范，完成平台改造与合规建设。在保障平台各项业务功能正常运行、业务应用的前提下，全面保障系统业务完整性、数据有效性、数据存储安全性，严格落实医疗数据本地留存、本地管控的合规要求，规避数据外泄风险，保障平台长期合规稳定运营。</w:t>
            </w:r>
            <w:r>
              <w:rPr>
                <w:rFonts w:hint="eastAsia"/>
                <w:color w:val="0000FF"/>
                <w:lang w:eastAsia="zh-CN"/>
              </w:rPr>
              <w:t>（</w:t>
            </w:r>
            <w:r>
              <w:rPr>
                <w:rFonts w:hint="eastAsia"/>
                <w:color w:val="0000FF"/>
              </w:rPr>
              <w:t>需服务商提供专项合规承诺函</w:t>
            </w:r>
            <w:r>
              <w:rPr>
                <w:rFonts w:hint="eastAsia"/>
                <w:color w:val="0000FF"/>
                <w:lang w:eastAsia="zh-CN"/>
              </w:rPr>
              <w:t>）</w:t>
            </w:r>
          </w:p>
        </w:tc>
      </w:tr>
    </w:tbl>
    <w:p w14:paraId="2A96027E">
      <w:pPr>
        <w:pStyle w:val="6"/>
        <w:ind w:firstLine="420"/>
        <w:jc w:val="both"/>
        <w:rPr>
          <w:rFonts w:asciiTheme="minorEastAsia" w:hAnsiTheme="minorEastAsia" w:cstheme="minorEastAsia"/>
          <w:sz w:val="21"/>
        </w:rPr>
      </w:pPr>
      <w:r>
        <w:rPr>
          <w:rFonts w:asciiTheme="minorEastAsia" w:hAnsiTheme="minorEastAsia" w:cstheme="minorEastAsia"/>
          <w:sz w:val="21"/>
        </w:rPr>
        <w:t>②现有具体模块功能维护项如下：</w:t>
      </w:r>
    </w:p>
    <w:p w14:paraId="0893DA47">
      <w:pPr>
        <w:pStyle w:val="6"/>
        <w:ind w:firstLine="420"/>
        <w:jc w:val="both"/>
        <w:rPr>
          <w:rFonts w:asciiTheme="minorEastAsia" w:hAnsiTheme="minorEastAsia" w:cstheme="minorEastAsia"/>
          <w:color w:val="0000FF"/>
          <w:sz w:val="21"/>
        </w:rPr>
      </w:pPr>
      <w:r>
        <w:rPr>
          <w:rFonts w:asciiTheme="minorEastAsia" w:hAnsiTheme="minorEastAsia" w:cstheme="minorEastAsia"/>
          <w:color w:val="0000FF"/>
          <w:sz w:val="21"/>
        </w:rPr>
        <w:t>1.</w:t>
      </w:r>
      <w:r>
        <w:rPr>
          <w:rFonts w:hint="eastAsia" w:asciiTheme="minorEastAsia" w:hAnsiTheme="minorEastAsia" w:cstheme="minorEastAsia"/>
          <w:color w:val="0000FF"/>
          <w:sz w:val="21"/>
          <w:lang w:val="en-US" w:eastAsia="zh-CN"/>
        </w:rPr>
        <w:t>互联网诊疗问诊：包括线上门诊、复诊开电子处方（西、中药，双通道处方等）、检查检验开单、院内制剂/膏方自助开单、护理咨询</w:t>
      </w:r>
      <w:r>
        <w:rPr>
          <w:rFonts w:asciiTheme="minorEastAsia" w:hAnsiTheme="minorEastAsia" w:cstheme="minorEastAsia"/>
          <w:color w:val="0000FF"/>
          <w:sz w:val="21"/>
        </w:rPr>
        <w:t>。</w:t>
      </w:r>
    </w:p>
    <w:p w14:paraId="6A7F9540">
      <w:pPr>
        <w:pStyle w:val="6"/>
        <w:ind w:firstLine="420"/>
        <w:jc w:val="both"/>
        <w:rPr>
          <w:rFonts w:hint="eastAsia" w:asciiTheme="minorEastAsia" w:hAnsiTheme="minorEastAsia" w:cstheme="minorEastAsia"/>
          <w:color w:val="0000FF"/>
          <w:sz w:val="21"/>
          <w:lang w:val="en-US" w:eastAsia="zh-CN"/>
        </w:rPr>
      </w:pPr>
      <w:r>
        <w:rPr>
          <w:rFonts w:hint="eastAsia" w:asciiTheme="minorEastAsia" w:hAnsiTheme="minorEastAsia" w:cstheme="minorEastAsia"/>
          <w:color w:val="0000FF"/>
          <w:sz w:val="21"/>
          <w:lang w:val="en-US" w:eastAsia="zh-CN"/>
        </w:rPr>
        <w:t>2、门诊业务：包括预约挂号、检查改约、报告查询、查处方单、电子发票、在线降档、快递查询、门诊签到、排队信息、自助缴费。</w:t>
      </w:r>
    </w:p>
    <w:p w14:paraId="4AECF7DD">
      <w:pPr>
        <w:pStyle w:val="6"/>
        <w:ind w:firstLine="420"/>
        <w:jc w:val="both"/>
        <w:rPr>
          <w:rFonts w:hint="eastAsia" w:asciiTheme="minorEastAsia" w:hAnsiTheme="minorEastAsia" w:cstheme="minorEastAsia"/>
          <w:color w:val="0000FF"/>
          <w:sz w:val="21"/>
          <w:lang w:val="en-US" w:eastAsia="zh-CN"/>
        </w:rPr>
      </w:pPr>
      <w:r>
        <w:rPr>
          <w:rFonts w:hint="eastAsia" w:asciiTheme="minorEastAsia" w:hAnsiTheme="minorEastAsia" w:cstheme="minorEastAsia"/>
          <w:color w:val="0000FF"/>
          <w:sz w:val="21"/>
          <w:lang w:val="en-US" w:eastAsia="zh-CN"/>
        </w:rPr>
        <w:t>3、住院业务：住院预交金。</w:t>
      </w:r>
    </w:p>
    <w:p w14:paraId="70303076">
      <w:pPr>
        <w:pStyle w:val="6"/>
        <w:ind w:firstLine="420"/>
        <w:jc w:val="both"/>
        <w:rPr>
          <w:rFonts w:hint="default" w:asciiTheme="minorEastAsia" w:hAnsiTheme="minorEastAsia" w:cstheme="minorEastAsia"/>
          <w:color w:val="0000FF"/>
          <w:sz w:val="21"/>
          <w:lang w:val="en-US" w:eastAsia="zh-CN"/>
        </w:rPr>
      </w:pPr>
      <w:r>
        <w:rPr>
          <w:rFonts w:hint="eastAsia" w:asciiTheme="minorEastAsia" w:hAnsiTheme="minorEastAsia" w:cstheme="minorEastAsia"/>
          <w:color w:val="0000FF"/>
          <w:sz w:val="21"/>
          <w:lang w:val="en-US" w:eastAsia="zh-CN"/>
        </w:rPr>
        <w:t>4、医保双通道：双通道处方查询、双通道处方缴费</w:t>
      </w:r>
    </w:p>
    <w:p w14:paraId="53FC3B9E">
      <w:pPr>
        <w:pStyle w:val="6"/>
        <w:ind w:firstLine="420"/>
        <w:jc w:val="both"/>
        <w:rPr>
          <w:rFonts w:asciiTheme="minorEastAsia" w:hAnsiTheme="minorEastAsia" w:cstheme="minorEastAsia"/>
          <w:b/>
          <w:bCs/>
          <w:sz w:val="21"/>
        </w:rPr>
      </w:pPr>
      <w:r>
        <w:rPr>
          <w:rFonts w:asciiTheme="minorEastAsia" w:hAnsiTheme="minorEastAsia" w:cstheme="minorEastAsia"/>
          <w:b/>
          <w:bCs/>
          <w:sz w:val="21"/>
          <w:lang w:eastAsia="zh-CN"/>
        </w:rPr>
        <w:t>3.2.2</w:t>
      </w:r>
      <w:r>
        <w:rPr>
          <w:rFonts w:asciiTheme="minorEastAsia" w:hAnsiTheme="minorEastAsia" w:cstheme="minorEastAsia"/>
          <w:b/>
          <w:bCs/>
          <w:sz w:val="21"/>
        </w:rPr>
        <w:t>服务内容</w:t>
      </w:r>
    </w:p>
    <w:p w14:paraId="44EFDAF5">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1.</w:t>
      </w:r>
      <w:r>
        <w:rPr>
          <w:rFonts w:hint="eastAsia" w:asciiTheme="minorEastAsia" w:hAnsiTheme="minorEastAsia" w:cstheme="minorEastAsia"/>
          <w:color w:val="auto"/>
          <w:sz w:val="21"/>
          <w:lang w:eastAsia="zh-CN"/>
        </w:rPr>
        <w:t>互联网医院诊疗平台</w:t>
      </w:r>
      <w:r>
        <w:rPr>
          <w:rFonts w:asciiTheme="minorEastAsia" w:hAnsiTheme="minorEastAsia" w:cstheme="minorEastAsia"/>
          <w:color w:val="auto"/>
          <w:sz w:val="21"/>
        </w:rPr>
        <w:t>包含的软件模块的日常运维，保障正常运行。</w:t>
      </w:r>
    </w:p>
    <w:p w14:paraId="40AFC910">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2.保障软件的BUG、数据错误等修复。</w:t>
      </w:r>
    </w:p>
    <w:p w14:paraId="32C13F68">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3.完成</w:t>
      </w:r>
      <w:r>
        <w:rPr>
          <w:rFonts w:hint="eastAsia" w:asciiTheme="minorEastAsia" w:hAnsiTheme="minorEastAsia" w:cstheme="minorEastAsia"/>
          <w:color w:val="auto"/>
          <w:sz w:val="21"/>
          <w:lang w:val="en-US" w:eastAsia="zh-CN"/>
        </w:rPr>
        <w:t>原有系统的需求</w:t>
      </w:r>
      <w:r>
        <w:rPr>
          <w:rFonts w:asciiTheme="minorEastAsia" w:hAnsiTheme="minorEastAsia" w:cstheme="minorEastAsia"/>
          <w:color w:val="auto"/>
          <w:sz w:val="21"/>
        </w:rPr>
        <w:t>调研分析，对需求的功能、性能、安全等方面进行精细化梳理，以保证软件开发过程更加有效和高效。</w:t>
      </w:r>
    </w:p>
    <w:p w14:paraId="339ACAA6">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5.根据设计文档，进行编码工作，遵循编程规范，保证代码质量。</w:t>
      </w:r>
    </w:p>
    <w:p w14:paraId="545D1CAB">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6.测试人员需要进行单元测试、集成测试和系统测试，发现并修复软件中的缺陷，保证软件质量。</w:t>
      </w:r>
    </w:p>
    <w:p w14:paraId="1321A836">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7.将测试完成的软件部署到生产环境，部署过程中要确保系统的稳定性和安全性。</w:t>
      </w:r>
    </w:p>
    <w:p w14:paraId="0D3EDC2A">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8.包括需求功能培训、性能优化、功能改进等，对科室人员反馈的问题进行及时处理，提高临床科室满意度。</w:t>
      </w:r>
    </w:p>
    <w:p w14:paraId="3F90E1BE">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9.提高系统的稳定性、高可用性和健壮性。</w:t>
      </w:r>
    </w:p>
    <w:p w14:paraId="34310F7D">
      <w:pPr>
        <w:pStyle w:val="6"/>
        <w:ind w:firstLine="420"/>
        <w:rPr>
          <w:rFonts w:asciiTheme="minorEastAsia" w:hAnsiTheme="minorEastAsia" w:cstheme="minorEastAsia"/>
          <w:color w:val="0000FF"/>
          <w:sz w:val="21"/>
        </w:rPr>
      </w:pPr>
      <w:r>
        <w:rPr>
          <w:rFonts w:asciiTheme="minorEastAsia" w:hAnsiTheme="minorEastAsia" w:cstheme="minorEastAsia"/>
          <w:color w:val="0000FF"/>
          <w:sz w:val="21"/>
        </w:rPr>
        <w:t>10.</w:t>
      </w:r>
      <w:r>
        <w:rPr>
          <w:rFonts w:hint="eastAsia" w:asciiTheme="minorEastAsia" w:hAnsiTheme="minorEastAsia" w:cstheme="minorEastAsia"/>
          <w:color w:val="0000FF"/>
          <w:sz w:val="21"/>
        </w:rPr>
        <w:t>常态化开展平台基础设施及运行环境季度巡检工作，每季度针对业务中间件、系统运行环境、核心数据库、监管平台服务器等关键软硬件设备、业务支撑模块进行</w:t>
      </w:r>
      <w:r>
        <w:rPr>
          <w:rFonts w:hint="eastAsia" w:asciiTheme="minorEastAsia" w:hAnsiTheme="minorEastAsia" w:cstheme="minorEastAsia"/>
          <w:color w:val="0000FF"/>
          <w:sz w:val="21"/>
          <w:lang w:eastAsia="zh-CN"/>
        </w:rPr>
        <w:t>（</w:t>
      </w:r>
      <w:r>
        <w:rPr>
          <w:rFonts w:hint="eastAsia" w:asciiTheme="minorEastAsia" w:hAnsiTheme="minorEastAsia" w:cstheme="minorEastAsia"/>
          <w:color w:val="0000FF"/>
          <w:sz w:val="21"/>
          <w:lang w:val="en-US" w:eastAsia="zh-CN"/>
        </w:rPr>
        <w:t>可远程</w:t>
      </w:r>
      <w:r>
        <w:rPr>
          <w:rFonts w:hint="eastAsia" w:asciiTheme="minorEastAsia" w:hAnsiTheme="minorEastAsia" w:cstheme="minorEastAsia"/>
          <w:color w:val="0000FF"/>
          <w:sz w:val="21"/>
          <w:lang w:eastAsia="zh-CN"/>
        </w:rPr>
        <w:t>）</w:t>
      </w:r>
      <w:r>
        <w:rPr>
          <w:rFonts w:hint="eastAsia" w:asciiTheme="minorEastAsia" w:hAnsiTheme="minorEastAsia" w:cstheme="minorEastAsia"/>
          <w:color w:val="0000FF"/>
          <w:sz w:val="21"/>
        </w:rPr>
        <w:t>巡检排查。重点核查设备运行状态、系统负载、数据库运行参数、数据存储安全、监管平台对接状态等核心内容，排查潜在运行风险、系统漏洞、适配异常等问题，及时排查隐患、处置故障。</w:t>
      </w:r>
      <w:r>
        <w:rPr>
          <w:rFonts w:hint="eastAsia" w:asciiTheme="minorEastAsia" w:hAnsiTheme="minorEastAsia" w:cstheme="minorEastAsia"/>
          <w:color w:val="0000FF"/>
          <w:sz w:val="21"/>
          <w:lang w:val="en-US" w:eastAsia="zh-CN"/>
        </w:rPr>
        <w:t>季度</w:t>
      </w:r>
      <w:r>
        <w:rPr>
          <w:rFonts w:hint="eastAsia" w:asciiTheme="minorEastAsia" w:hAnsiTheme="minorEastAsia" w:cstheme="minorEastAsia"/>
          <w:color w:val="0000FF"/>
          <w:sz w:val="21"/>
        </w:rPr>
        <w:t>巡检工作完成后需按时输出标准化巡检报告，留存巡检记录。</w:t>
      </w:r>
    </w:p>
    <w:p w14:paraId="592C039A">
      <w:pPr>
        <w:pStyle w:val="6"/>
        <w:ind w:firstLine="420"/>
        <w:rPr>
          <w:rFonts w:asciiTheme="minorEastAsia" w:hAnsiTheme="minorEastAsia" w:cstheme="minorEastAsia"/>
          <w:color w:val="auto"/>
          <w:sz w:val="21"/>
        </w:rPr>
      </w:pPr>
      <w:r>
        <w:rPr>
          <w:rFonts w:asciiTheme="minorEastAsia" w:hAnsiTheme="minorEastAsia" w:cstheme="minorEastAsia"/>
          <w:color w:val="auto"/>
          <w:sz w:val="21"/>
        </w:rPr>
        <w:t>11.人员的技术培训与操作培训服务。</w:t>
      </w:r>
    </w:p>
    <w:p w14:paraId="089318F2">
      <w:pPr>
        <w:pStyle w:val="6"/>
        <w:ind w:firstLine="420"/>
        <w:rPr>
          <w:rFonts w:asciiTheme="minorEastAsia" w:hAnsiTheme="minorEastAsia" w:cstheme="minorEastAsia"/>
          <w:color w:val="0000FF"/>
          <w:sz w:val="21"/>
        </w:rPr>
      </w:pPr>
      <w:r>
        <w:rPr>
          <w:rFonts w:asciiTheme="minorEastAsia" w:hAnsiTheme="minorEastAsia" w:cstheme="minorEastAsia"/>
          <w:color w:val="0000FF"/>
          <w:sz w:val="21"/>
        </w:rPr>
        <w:t>12.</w:t>
      </w:r>
      <w:r>
        <w:rPr>
          <w:rFonts w:hint="eastAsia" w:asciiTheme="minorEastAsia" w:hAnsiTheme="minorEastAsia" w:cstheme="minorEastAsia"/>
          <w:color w:val="0000FF"/>
          <w:sz w:val="21"/>
        </w:rPr>
        <w:t>互联网医院诊疗平台常态化版本迭代与</w:t>
      </w:r>
      <w:r>
        <w:rPr>
          <w:rFonts w:hint="eastAsia" w:asciiTheme="minorEastAsia" w:hAnsiTheme="minorEastAsia" w:cstheme="minorEastAsia"/>
          <w:color w:val="0000FF"/>
          <w:sz w:val="21"/>
          <w:lang w:val="en-US" w:eastAsia="zh-CN"/>
        </w:rPr>
        <w:t>原有</w:t>
      </w:r>
      <w:r>
        <w:rPr>
          <w:rFonts w:hint="eastAsia" w:asciiTheme="minorEastAsia" w:hAnsiTheme="minorEastAsia" w:cstheme="minorEastAsia"/>
          <w:color w:val="0000FF"/>
          <w:sz w:val="21"/>
        </w:rPr>
        <w:t>功能升级优化，配合院方</w:t>
      </w:r>
      <w:r>
        <w:rPr>
          <w:rFonts w:hint="eastAsia" w:asciiTheme="minorEastAsia" w:hAnsiTheme="minorEastAsia" w:cstheme="minorEastAsia"/>
          <w:color w:val="0000FF"/>
          <w:sz w:val="21"/>
          <w:lang w:val="en-US" w:eastAsia="zh-CN"/>
        </w:rPr>
        <w:t>维持功能</w:t>
      </w:r>
      <w:r>
        <w:rPr>
          <w:rFonts w:hint="eastAsia" w:asciiTheme="minorEastAsia" w:hAnsiTheme="minorEastAsia" w:cstheme="minorEastAsia"/>
          <w:color w:val="0000FF"/>
          <w:sz w:val="21"/>
        </w:rPr>
        <w:t>、规则调整等各类需求。建立高效的需求迭代响应机制，保障至少每2周一轮</w:t>
      </w:r>
      <w:r>
        <w:rPr>
          <w:rFonts w:hint="eastAsia" w:asciiTheme="minorEastAsia" w:hAnsiTheme="minorEastAsia" w:cstheme="minorEastAsia"/>
          <w:color w:val="0000FF"/>
          <w:sz w:val="21"/>
          <w:lang w:val="en-US" w:eastAsia="zh-CN"/>
        </w:rPr>
        <w:t>BUG处理</w:t>
      </w:r>
      <w:r>
        <w:rPr>
          <w:rFonts w:hint="eastAsia" w:asciiTheme="minorEastAsia" w:hAnsiTheme="minorEastAsia" w:cstheme="minorEastAsia"/>
          <w:color w:val="0000FF"/>
          <w:sz w:val="21"/>
        </w:rPr>
        <w:t>、测试、调试，持续优化平台功能适配性、业务流畅性与合规性，满足医院线上诊疗业务</w:t>
      </w:r>
      <w:r>
        <w:rPr>
          <w:rFonts w:hint="eastAsia" w:asciiTheme="minorEastAsia" w:hAnsiTheme="minorEastAsia" w:cstheme="minorEastAsia"/>
          <w:color w:val="0000FF"/>
          <w:sz w:val="21"/>
          <w:lang w:val="en-US" w:eastAsia="zh-CN"/>
        </w:rPr>
        <w:t>运行</w:t>
      </w:r>
      <w:r>
        <w:rPr>
          <w:rFonts w:hint="eastAsia" w:asciiTheme="minorEastAsia" w:hAnsiTheme="minorEastAsia" w:cstheme="minorEastAsia"/>
          <w:color w:val="0000FF"/>
          <w:sz w:val="21"/>
        </w:rPr>
        <w:t>、动态化运营的工作需求。</w:t>
      </w:r>
    </w:p>
    <w:p w14:paraId="17E92808">
      <w:pPr>
        <w:pStyle w:val="6"/>
        <w:ind w:firstLine="420"/>
        <w:jc w:val="both"/>
        <w:rPr>
          <w:rFonts w:asciiTheme="minorEastAsia" w:hAnsiTheme="minorEastAsia" w:cstheme="minorEastAsia"/>
          <w:color w:val="auto"/>
          <w:sz w:val="21"/>
        </w:rPr>
      </w:pPr>
      <w:r>
        <w:rPr>
          <w:rFonts w:asciiTheme="minorEastAsia" w:hAnsiTheme="minorEastAsia" w:cstheme="minorEastAsia"/>
          <w:color w:val="auto"/>
          <w:sz w:val="21"/>
        </w:rPr>
        <w:t>13.提供信息化建设规划、方案制定等咨询服务。</w:t>
      </w:r>
    </w:p>
    <w:p w14:paraId="6848B6C0">
      <w:pPr>
        <w:pStyle w:val="6"/>
        <w:ind w:firstLine="420"/>
        <w:jc w:val="both"/>
        <w:rPr>
          <w:rFonts w:asciiTheme="minorEastAsia" w:hAnsiTheme="minorEastAsia" w:cstheme="minorEastAsia"/>
          <w:b/>
          <w:bCs/>
          <w:sz w:val="21"/>
        </w:rPr>
      </w:pPr>
      <w:r>
        <w:rPr>
          <w:rFonts w:asciiTheme="minorEastAsia" w:hAnsiTheme="minorEastAsia" w:cstheme="minorEastAsia"/>
          <w:b/>
          <w:bCs/>
          <w:sz w:val="21"/>
          <w:lang w:eastAsia="zh-CN"/>
        </w:rPr>
        <w:t>3.2.3</w:t>
      </w:r>
      <w:r>
        <w:rPr>
          <w:rFonts w:asciiTheme="minorEastAsia" w:hAnsiTheme="minorEastAsia" w:cstheme="minorEastAsia"/>
          <w:b/>
          <w:bCs/>
          <w:sz w:val="21"/>
        </w:rPr>
        <w:t>服务方式与人员配置</w:t>
      </w:r>
    </w:p>
    <w:p w14:paraId="14722456">
      <w:pPr>
        <w:pStyle w:val="6"/>
        <w:ind w:firstLine="420"/>
        <w:jc w:val="both"/>
        <w:rPr>
          <w:rFonts w:asciiTheme="minorEastAsia" w:hAnsiTheme="minorEastAsia" w:cstheme="minorEastAsia"/>
          <w:sz w:val="21"/>
        </w:rPr>
      </w:pPr>
      <w:r>
        <w:rPr>
          <w:rFonts w:asciiTheme="minorEastAsia" w:hAnsiTheme="minorEastAsia" w:cstheme="minorEastAsia"/>
          <w:sz w:val="21"/>
        </w:rPr>
        <w:t>▲</w:t>
      </w:r>
      <w:r>
        <w:rPr>
          <w:rFonts w:asciiTheme="minorEastAsia" w:hAnsiTheme="minorEastAsia" w:cstheme="minorEastAsia"/>
          <w:color w:val="0000FF"/>
          <w:sz w:val="21"/>
        </w:rPr>
        <w:t>1.安排</w:t>
      </w:r>
      <w:r>
        <w:rPr>
          <w:rFonts w:hint="eastAsia" w:asciiTheme="minorEastAsia" w:hAnsiTheme="minorEastAsia" w:cstheme="minorEastAsia"/>
          <w:color w:val="0000FF"/>
          <w:sz w:val="21"/>
          <w:lang w:val="en-US" w:eastAsia="zh-CN"/>
        </w:rPr>
        <w:t>线上</w:t>
      </w:r>
      <w:r>
        <w:rPr>
          <w:rFonts w:asciiTheme="minorEastAsia" w:hAnsiTheme="minorEastAsia" w:cstheme="minorEastAsia"/>
          <w:color w:val="0000FF"/>
          <w:sz w:val="21"/>
        </w:rPr>
        <w:t>人员包括</w:t>
      </w:r>
      <w:r>
        <w:rPr>
          <w:rFonts w:hint="eastAsia" w:asciiTheme="minorEastAsia" w:hAnsiTheme="minorEastAsia" w:cstheme="minorEastAsia"/>
          <w:color w:val="0000FF"/>
          <w:sz w:val="21"/>
          <w:lang w:val="en-US" w:eastAsia="zh-CN"/>
        </w:rPr>
        <w:t>1</w:t>
      </w:r>
      <w:r>
        <w:rPr>
          <w:rFonts w:asciiTheme="minorEastAsia" w:hAnsiTheme="minorEastAsia" w:cstheme="minorEastAsia"/>
          <w:color w:val="0000FF"/>
          <w:sz w:val="21"/>
        </w:rPr>
        <w:t>名开发和</w:t>
      </w:r>
      <w:r>
        <w:rPr>
          <w:rFonts w:hint="eastAsia" w:asciiTheme="minorEastAsia" w:hAnsiTheme="minorEastAsia" w:cstheme="minorEastAsia"/>
          <w:color w:val="0000FF"/>
          <w:sz w:val="21"/>
          <w:lang w:val="en-US" w:eastAsia="zh-CN"/>
        </w:rPr>
        <w:t>1</w:t>
      </w:r>
      <w:r>
        <w:rPr>
          <w:rFonts w:asciiTheme="minorEastAsia" w:hAnsiTheme="minorEastAsia" w:cstheme="minorEastAsia"/>
          <w:color w:val="0000FF"/>
          <w:sz w:val="21"/>
        </w:rPr>
        <w:t>名实施（含一名负责人）</w:t>
      </w:r>
      <w:r>
        <w:rPr>
          <w:rFonts w:asciiTheme="minorEastAsia" w:hAnsiTheme="minorEastAsia" w:cstheme="minorEastAsia"/>
          <w:sz w:val="21"/>
        </w:rPr>
        <w:t>，至少包括1名高级程序员和</w:t>
      </w:r>
      <w:r>
        <w:rPr>
          <w:rFonts w:hint="eastAsia" w:asciiTheme="minorEastAsia" w:hAnsiTheme="minorEastAsia" w:cstheme="minorEastAsia"/>
          <w:sz w:val="21"/>
          <w:lang w:val="en-US" w:eastAsia="zh-CN"/>
        </w:rPr>
        <w:t>1</w:t>
      </w:r>
      <w:r>
        <w:rPr>
          <w:rFonts w:asciiTheme="minorEastAsia" w:hAnsiTheme="minorEastAsia" w:cstheme="minorEastAsia"/>
          <w:sz w:val="21"/>
        </w:rPr>
        <w:t>名</w:t>
      </w:r>
      <w:r>
        <w:rPr>
          <w:rFonts w:asciiTheme="minorEastAsia" w:hAnsiTheme="minorEastAsia" w:cstheme="minorEastAsia"/>
          <w:sz w:val="21"/>
          <w:lang w:eastAsia="zh-CN"/>
        </w:rPr>
        <w:t>普通</w:t>
      </w:r>
      <w:r>
        <w:rPr>
          <w:rFonts w:asciiTheme="minorEastAsia" w:hAnsiTheme="minorEastAsia" w:cstheme="minorEastAsia"/>
          <w:sz w:val="21"/>
        </w:rPr>
        <w:t>程序员，高级程序员要求10年以上研发经验。研发需要熟悉医院现有数据模型和产品架构，熟悉现有系统源代码，具备需求调研分析和程序设计研发能力。</w:t>
      </w:r>
    </w:p>
    <w:p w14:paraId="00BAAABC">
      <w:pPr>
        <w:pStyle w:val="6"/>
        <w:ind w:firstLine="420"/>
        <w:jc w:val="both"/>
        <w:rPr>
          <w:rFonts w:asciiTheme="minorEastAsia" w:hAnsiTheme="minorEastAsia" w:cstheme="minorEastAsia"/>
          <w:sz w:val="21"/>
        </w:rPr>
      </w:pPr>
      <w:r>
        <w:rPr>
          <w:rFonts w:asciiTheme="minorEastAsia" w:hAnsiTheme="minorEastAsia" w:cstheme="minorEastAsia"/>
          <w:sz w:val="21"/>
        </w:rPr>
        <w:t>▲2.派遣有丰富医院信息化的研发总监、产品总监级人员、多年医院信息化维护工程师医院对医院的信息化进行调研，为医院的信息化涉及的软硬件配置提供指导，并给出解决方案。</w:t>
      </w:r>
    </w:p>
    <w:p w14:paraId="2754BE7F">
      <w:pPr>
        <w:pStyle w:val="6"/>
        <w:ind w:firstLine="420"/>
        <w:jc w:val="both"/>
        <w:rPr>
          <w:rFonts w:hint="default" w:asciiTheme="minorEastAsia" w:hAnsiTheme="minorEastAsia" w:eastAsiaTheme="minorEastAsia" w:cstheme="minorEastAsia"/>
          <w:sz w:val="21"/>
          <w:lang w:val="en-US" w:eastAsia="zh-CN"/>
        </w:rPr>
      </w:pPr>
      <w:r>
        <w:rPr>
          <w:rFonts w:asciiTheme="minorEastAsia" w:hAnsiTheme="minorEastAsia" w:cstheme="minorEastAsia"/>
          <w:sz w:val="21"/>
        </w:rPr>
        <w:t>▲3.</w:t>
      </w:r>
      <w:r>
        <w:rPr>
          <w:rFonts w:hint="eastAsia" w:asciiTheme="minorEastAsia" w:hAnsiTheme="minorEastAsia" w:cstheme="minorEastAsia"/>
          <w:color w:val="0000FF"/>
          <w:sz w:val="21"/>
        </w:rPr>
        <w:t>建立常态化现场沟通汇报机制，定期</w:t>
      </w:r>
      <w:r>
        <w:rPr>
          <w:rFonts w:hint="eastAsia" w:asciiTheme="minorEastAsia" w:hAnsiTheme="minorEastAsia" w:cstheme="minorEastAsia"/>
          <w:color w:val="0000FF"/>
          <w:sz w:val="21"/>
          <w:lang w:eastAsia="zh-CN"/>
        </w:rPr>
        <w:t>（</w:t>
      </w:r>
      <w:r>
        <w:rPr>
          <w:rFonts w:hint="eastAsia" w:asciiTheme="minorEastAsia" w:hAnsiTheme="minorEastAsia" w:cstheme="minorEastAsia"/>
          <w:color w:val="0000FF"/>
          <w:sz w:val="21"/>
          <w:lang w:val="en-US" w:eastAsia="zh-CN"/>
        </w:rPr>
        <w:t>每年至少2次</w:t>
      </w:r>
      <w:r>
        <w:rPr>
          <w:rFonts w:hint="eastAsia" w:asciiTheme="minorEastAsia" w:hAnsiTheme="minorEastAsia" w:cstheme="minorEastAsia"/>
          <w:color w:val="0000FF"/>
          <w:sz w:val="21"/>
          <w:lang w:eastAsia="zh-CN"/>
        </w:rPr>
        <w:t>）</w:t>
      </w:r>
      <w:r>
        <w:rPr>
          <w:rFonts w:hint="eastAsia" w:asciiTheme="minorEastAsia" w:hAnsiTheme="minorEastAsia" w:cstheme="minorEastAsia"/>
          <w:color w:val="0000FF"/>
          <w:sz w:val="21"/>
        </w:rPr>
        <w:t>安排技术运维、项目对接人员到院开展现场业务沟通交流，主动对接院方业务、</w:t>
      </w:r>
      <w:r>
        <w:rPr>
          <w:rFonts w:hint="eastAsia" w:asciiTheme="minorEastAsia" w:hAnsiTheme="minorEastAsia" w:cstheme="minorEastAsia"/>
          <w:color w:val="0000FF"/>
          <w:sz w:val="21"/>
          <w:lang w:val="en-US" w:eastAsia="zh-CN"/>
        </w:rPr>
        <w:t>信息科</w:t>
      </w:r>
      <w:r>
        <w:rPr>
          <w:rFonts w:hint="eastAsia" w:asciiTheme="minorEastAsia" w:hAnsiTheme="minorEastAsia" w:cstheme="minorEastAsia"/>
          <w:color w:val="0000FF"/>
          <w:sz w:val="21"/>
        </w:rPr>
        <w:t>及管理部门，同步平台运行情况、版本迭代进度、问题整改情况、后续优化计划等工作内容，面对面收集院方最新业务需求与整改意见，及时协调解决平台运行及业务适配过程中存在的问题，保障项目对接高效、问题闭环处理、业务持续稳定运行</w:t>
      </w:r>
      <w:r>
        <w:rPr>
          <w:rFonts w:hint="eastAsia" w:asciiTheme="minorEastAsia" w:hAnsiTheme="minorEastAsia" w:cstheme="minorEastAsia"/>
          <w:color w:val="0000FF"/>
          <w:sz w:val="21"/>
          <w:lang w:eastAsia="zh-CN"/>
        </w:rPr>
        <w:t>。</w:t>
      </w:r>
    </w:p>
    <w:p w14:paraId="45989AE7">
      <w:pPr>
        <w:pStyle w:val="6"/>
        <w:ind w:firstLine="420"/>
        <w:jc w:val="both"/>
        <w:rPr>
          <w:rFonts w:asciiTheme="minorEastAsia" w:hAnsiTheme="minorEastAsia" w:cstheme="minorEastAsia"/>
          <w:sz w:val="21"/>
        </w:rPr>
      </w:pPr>
      <w:r>
        <w:rPr>
          <w:rFonts w:asciiTheme="minorEastAsia" w:hAnsiTheme="minorEastAsia" w:cstheme="minorEastAsia"/>
          <w:sz w:val="21"/>
        </w:rPr>
        <w:t>▲4.现场运维期间提供7*24小时技术热线电话。当系统发生故障时，在接到维修通知后1小时内响应并有明确的解决方案。若故障不能通过电话解决的，在2小时内有专人到达现场处理。</w:t>
      </w:r>
    </w:p>
    <w:p w14:paraId="64F1E08F">
      <w:pPr>
        <w:pStyle w:val="6"/>
        <w:ind w:firstLine="420"/>
        <w:jc w:val="both"/>
        <w:rPr>
          <w:rFonts w:asciiTheme="minorEastAsia" w:hAnsiTheme="minorEastAsia" w:cstheme="minorEastAsia"/>
          <w:sz w:val="21"/>
        </w:rPr>
      </w:pPr>
      <w:r>
        <w:rPr>
          <w:rFonts w:asciiTheme="minorEastAsia" w:hAnsiTheme="minorEastAsia" w:cstheme="minorEastAsia"/>
          <w:sz w:val="21"/>
        </w:rPr>
        <w:t>▲5.保障HIS数据库正常运行，定期检查数据库运行情况。当数据库出现锁表等问题影响使用时及时排查处理。</w:t>
      </w:r>
    </w:p>
    <w:p w14:paraId="143527B2">
      <w:pPr>
        <w:pStyle w:val="6"/>
        <w:ind w:firstLine="420"/>
        <w:jc w:val="both"/>
        <w:rPr>
          <w:rFonts w:asciiTheme="minorEastAsia" w:hAnsiTheme="minorEastAsia" w:cstheme="minorEastAsia"/>
          <w:sz w:val="21"/>
        </w:rPr>
      </w:pPr>
      <w:r>
        <w:rPr>
          <w:rFonts w:asciiTheme="minorEastAsia" w:hAnsiTheme="minorEastAsia" w:cstheme="minorEastAsia"/>
          <w:sz w:val="21"/>
        </w:rPr>
        <w:t>▲6.不定期主动安排现场培训或按信息科要求及时安排现场操作人员培训。</w:t>
      </w:r>
    </w:p>
    <w:p w14:paraId="305D6BE9">
      <w:pPr>
        <w:pStyle w:val="6"/>
        <w:ind w:firstLine="420"/>
        <w:jc w:val="both"/>
        <w:rPr>
          <w:rFonts w:hint="eastAsia" w:asciiTheme="minorEastAsia" w:hAnsiTheme="minorEastAsia" w:cstheme="minorEastAsia"/>
          <w:color w:val="0000FF"/>
          <w:sz w:val="21"/>
        </w:rPr>
      </w:pPr>
      <w:r>
        <w:rPr>
          <w:rFonts w:asciiTheme="minorEastAsia" w:hAnsiTheme="minorEastAsia" w:cstheme="minorEastAsia"/>
          <w:sz w:val="21"/>
        </w:rPr>
        <w:t>▲7.</w:t>
      </w:r>
      <w:r>
        <w:rPr>
          <w:rFonts w:hint="eastAsia" w:asciiTheme="minorEastAsia" w:hAnsiTheme="minorEastAsia" w:cstheme="minorEastAsia"/>
          <w:color w:val="0000FF"/>
          <w:sz w:val="21"/>
        </w:rPr>
        <w:t>投标人须承诺，若中标，将在一周内完成对中山市人民医院现有互联网医院诊疗平台（含系统架构、核心业务流程及数据库结构）的熟悉与对接分析，并制定详细的系统衔接与数据整合实施方案，在投标文件中予以阐述。</w:t>
      </w:r>
    </w:p>
    <w:p w14:paraId="05E67A32">
      <w:pPr>
        <w:pStyle w:val="6"/>
        <w:ind w:firstLine="420"/>
        <w:jc w:val="both"/>
        <w:rPr>
          <w:rFonts w:asciiTheme="minorEastAsia" w:hAnsiTheme="minorEastAsia" w:cstheme="minorEastAsia"/>
          <w:b/>
          <w:bCs/>
          <w:sz w:val="21"/>
        </w:rPr>
      </w:pPr>
      <w:bookmarkStart w:id="0" w:name="_GoBack"/>
      <w:bookmarkEnd w:id="0"/>
      <w:r>
        <w:rPr>
          <w:rFonts w:asciiTheme="minorEastAsia" w:hAnsiTheme="minorEastAsia" w:cstheme="minorEastAsia"/>
          <w:b/>
          <w:bCs/>
          <w:sz w:val="21"/>
          <w:lang w:eastAsia="zh-CN"/>
        </w:rPr>
        <w:t>3.2.4</w:t>
      </w:r>
      <w:r>
        <w:rPr>
          <w:rFonts w:asciiTheme="minorEastAsia" w:hAnsiTheme="minorEastAsia" w:cstheme="minorEastAsia"/>
          <w:b/>
          <w:bCs/>
          <w:sz w:val="21"/>
        </w:rPr>
        <w:t>服务要求</w:t>
      </w:r>
    </w:p>
    <w:p w14:paraId="3C2899CB">
      <w:pPr>
        <w:pStyle w:val="6"/>
        <w:ind w:firstLine="420"/>
        <w:jc w:val="both"/>
        <w:rPr>
          <w:rFonts w:asciiTheme="minorEastAsia" w:hAnsiTheme="minorEastAsia" w:cstheme="minorEastAsia"/>
          <w:sz w:val="21"/>
        </w:rPr>
      </w:pPr>
      <w:r>
        <w:rPr>
          <w:rFonts w:asciiTheme="minorEastAsia" w:hAnsiTheme="minorEastAsia" w:cstheme="minorEastAsia"/>
          <w:sz w:val="21"/>
        </w:rPr>
        <w:t>1.未经</w:t>
      </w:r>
      <w:r>
        <w:rPr>
          <w:rFonts w:asciiTheme="minorEastAsia" w:hAnsiTheme="minorEastAsia" w:cstheme="minorEastAsia"/>
          <w:sz w:val="21"/>
          <w:lang w:eastAsia="zh-CN"/>
        </w:rPr>
        <w:t>采购人</w:t>
      </w:r>
      <w:r>
        <w:rPr>
          <w:rFonts w:asciiTheme="minorEastAsia" w:hAnsiTheme="minorEastAsia" w:cstheme="minorEastAsia"/>
          <w:sz w:val="21"/>
        </w:rPr>
        <w:t>同意，中标人不得随意更换常驻运维人员，如采购人需调换人员将提前告知中标人，并做好工作交接。</w:t>
      </w:r>
    </w:p>
    <w:p w14:paraId="04345CCD">
      <w:pPr>
        <w:pStyle w:val="6"/>
        <w:ind w:firstLine="420"/>
        <w:jc w:val="both"/>
        <w:rPr>
          <w:rFonts w:asciiTheme="minorEastAsia" w:hAnsiTheme="minorEastAsia" w:cstheme="minorEastAsia"/>
          <w:sz w:val="21"/>
        </w:rPr>
      </w:pPr>
      <w:r>
        <w:rPr>
          <w:rFonts w:asciiTheme="minorEastAsia" w:hAnsiTheme="minorEastAsia" w:cstheme="minorEastAsia"/>
          <w:sz w:val="21"/>
        </w:rPr>
        <w:t>2.中标人提供专业团队，在常驻运维人员和配合下完成部分常驻运维人员无法解决的问题和需求。</w:t>
      </w:r>
    </w:p>
    <w:p w14:paraId="02C669D1">
      <w:pPr>
        <w:pStyle w:val="6"/>
        <w:ind w:firstLine="420"/>
        <w:jc w:val="both"/>
        <w:rPr>
          <w:rFonts w:asciiTheme="minorEastAsia" w:hAnsiTheme="minorEastAsia" w:cstheme="minorEastAsia"/>
          <w:sz w:val="21"/>
        </w:rPr>
      </w:pPr>
      <w:r>
        <w:rPr>
          <w:rFonts w:asciiTheme="minorEastAsia" w:hAnsiTheme="minorEastAsia" w:cstheme="minorEastAsia"/>
          <w:sz w:val="21"/>
        </w:rPr>
        <w:t>3.维护人员在中山市人民医院期间，应遵守采购人信息服务管理制度，按照采购人工作时间进行上下班，定期参加采购人会议，沟通反馈需求进展、对日常维护工作进行开展。</w:t>
      </w:r>
    </w:p>
    <w:p w14:paraId="4DA1E4B0">
      <w:pPr>
        <w:pStyle w:val="6"/>
        <w:ind w:firstLine="420"/>
        <w:jc w:val="both"/>
        <w:rPr>
          <w:rFonts w:asciiTheme="minorEastAsia" w:hAnsiTheme="minorEastAsia" w:cstheme="minorEastAsia"/>
          <w:sz w:val="21"/>
        </w:rPr>
      </w:pPr>
      <w:r>
        <w:rPr>
          <w:rFonts w:asciiTheme="minorEastAsia" w:hAnsiTheme="minorEastAsia" w:cstheme="minorEastAsia"/>
          <w:sz w:val="21"/>
        </w:rPr>
        <w:t>4.需求开发的跟踪管理：日常需求在调研结束后，需求内容录入采购人需求管理系统上，明确需求开发周期，并上报采购人进行记录，以便采购人进行监督和查看。</w:t>
      </w:r>
    </w:p>
    <w:p w14:paraId="1F9D9059">
      <w:pPr>
        <w:pStyle w:val="6"/>
        <w:ind w:firstLine="420"/>
        <w:jc w:val="both"/>
        <w:rPr>
          <w:rFonts w:asciiTheme="minorEastAsia" w:hAnsiTheme="minorEastAsia" w:cstheme="minorEastAsia"/>
          <w:sz w:val="21"/>
        </w:rPr>
      </w:pPr>
      <w:r>
        <w:rPr>
          <w:rFonts w:asciiTheme="minorEastAsia" w:hAnsiTheme="minorEastAsia" w:cstheme="minorEastAsia"/>
          <w:sz w:val="21"/>
        </w:rPr>
        <w:t>5.开发质量：中标人提供维护团队对开发好后的需求进行跟踪，中标人完成软件修改后，需利用测试环境进行内部测试，测试通过后，由采购人在正式环境中进行更新。</w:t>
      </w:r>
    </w:p>
    <w:p w14:paraId="0BB36A7F">
      <w:pPr>
        <w:pStyle w:val="6"/>
        <w:ind w:firstLine="420"/>
        <w:jc w:val="both"/>
        <w:rPr>
          <w:rFonts w:asciiTheme="minorEastAsia" w:hAnsiTheme="minorEastAsia" w:cstheme="minorEastAsia"/>
          <w:sz w:val="21"/>
          <w:lang w:eastAsia="zh-CN"/>
        </w:rPr>
      </w:pPr>
      <w:r>
        <w:rPr>
          <w:rFonts w:asciiTheme="minorEastAsia" w:hAnsiTheme="minorEastAsia" w:cstheme="minorEastAsia"/>
          <w:sz w:val="21"/>
        </w:rPr>
        <w:t>6.培训服务：</w:t>
      </w:r>
      <w:r>
        <w:rPr>
          <w:rFonts w:asciiTheme="minorEastAsia" w:hAnsiTheme="minorEastAsia" w:cstheme="minorEastAsia"/>
          <w:sz w:val="21"/>
          <w:lang w:eastAsia="zh-CN"/>
        </w:rPr>
        <w:t>中标人有责任和义务按照采购人要求完成相应软件修改的</w:t>
      </w:r>
      <w:r>
        <w:rPr>
          <w:rFonts w:hint="eastAsia" w:asciiTheme="minorEastAsia" w:hAnsiTheme="minorEastAsia" w:cstheme="minorEastAsia"/>
          <w:sz w:val="21"/>
          <w:lang w:val="en-US" w:eastAsia="zh-CN"/>
        </w:rPr>
        <w:t>配套</w:t>
      </w:r>
      <w:r>
        <w:rPr>
          <w:rFonts w:asciiTheme="minorEastAsia" w:hAnsiTheme="minorEastAsia" w:cstheme="minorEastAsia"/>
          <w:sz w:val="21"/>
          <w:lang w:eastAsia="zh-CN"/>
        </w:rPr>
        <w:t>培训工作。</w:t>
      </w:r>
    </w:p>
    <w:p w14:paraId="0E21EB4C">
      <w:pPr>
        <w:pStyle w:val="6"/>
        <w:ind w:firstLine="420"/>
        <w:jc w:val="both"/>
        <w:rPr>
          <w:rFonts w:asciiTheme="minorEastAsia" w:hAnsiTheme="minorEastAsia" w:cstheme="minorEastAsia"/>
          <w:b/>
          <w:bCs/>
          <w:sz w:val="21"/>
        </w:rPr>
      </w:pPr>
      <w:r>
        <w:rPr>
          <w:rFonts w:asciiTheme="minorEastAsia" w:hAnsiTheme="minorEastAsia" w:cstheme="minorEastAsia"/>
          <w:b/>
          <w:bCs/>
          <w:sz w:val="21"/>
          <w:lang w:eastAsia="zh-CN"/>
        </w:rPr>
        <w:t>3.2.5</w:t>
      </w:r>
      <w:r>
        <w:rPr>
          <w:rFonts w:asciiTheme="minorEastAsia" w:hAnsiTheme="minorEastAsia" w:cstheme="minorEastAsia"/>
          <w:b/>
          <w:bCs/>
          <w:sz w:val="21"/>
        </w:rPr>
        <w:t>服务质量</w:t>
      </w:r>
    </w:p>
    <w:p w14:paraId="168E03BC">
      <w:pPr>
        <w:pStyle w:val="6"/>
        <w:ind w:firstLine="420"/>
        <w:jc w:val="both"/>
        <w:rPr>
          <w:rFonts w:asciiTheme="minorEastAsia" w:hAnsiTheme="minorEastAsia" w:cstheme="minorEastAsia"/>
          <w:sz w:val="21"/>
        </w:rPr>
      </w:pPr>
      <w:r>
        <w:rPr>
          <w:rFonts w:asciiTheme="minorEastAsia" w:hAnsiTheme="minorEastAsia" w:cstheme="minorEastAsia"/>
          <w:sz w:val="21"/>
        </w:rPr>
        <w:t>▲1.系统运维质量要求</w:t>
      </w:r>
    </w:p>
    <w:p w14:paraId="3FD5A78E">
      <w:pPr>
        <w:pStyle w:val="6"/>
        <w:ind w:firstLine="420"/>
        <w:jc w:val="both"/>
        <w:rPr>
          <w:rFonts w:asciiTheme="minorEastAsia" w:hAnsiTheme="minorEastAsia" w:cstheme="minorEastAsia"/>
          <w:sz w:val="21"/>
        </w:rPr>
      </w:pPr>
      <w:r>
        <w:rPr>
          <w:rFonts w:asciiTheme="minorEastAsia" w:hAnsiTheme="minorEastAsia" w:cstheme="minorEastAsia"/>
          <w:sz w:val="21"/>
        </w:rPr>
        <w:t>1.1确保</w:t>
      </w:r>
      <w:r>
        <w:rPr>
          <w:rFonts w:hint="eastAsia" w:asciiTheme="minorEastAsia" w:hAnsiTheme="minorEastAsia" w:cstheme="minorEastAsia"/>
          <w:sz w:val="21"/>
          <w:lang w:eastAsia="zh-CN"/>
        </w:rPr>
        <w:t>互联网医院诊疗平台</w:t>
      </w:r>
      <w:r>
        <w:rPr>
          <w:rFonts w:asciiTheme="minorEastAsia" w:hAnsiTheme="minorEastAsia" w:cstheme="minorEastAsia"/>
          <w:sz w:val="21"/>
        </w:rPr>
        <w:t>稳定运行；</w:t>
      </w:r>
    </w:p>
    <w:p w14:paraId="6205CEA9">
      <w:pPr>
        <w:pStyle w:val="6"/>
        <w:ind w:firstLine="420"/>
        <w:jc w:val="both"/>
        <w:rPr>
          <w:rFonts w:asciiTheme="minorEastAsia" w:hAnsiTheme="minorEastAsia" w:cstheme="minorEastAsia"/>
          <w:sz w:val="21"/>
        </w:rPr>
      </w:pPr>
      <w:r>
        <w:rPr>
          <w:rFonts w:asciiTheme="minorEastAsia" w:hAnsiTheme="minorEastAsia" w:cstheme="minorEastAsia"/>
          <w:sz w:val="21"/>
        </w:rPr>
        <w:t>1.2保证数据服务器的稳定运行以及数据安全；</w:t>
      </w:r>
    </w:p>
    <w:p w14:paraId="013D6F69">
      <w:pPr>
        <w:pStyle w:val="6"/>
        <w:ind w:firstLine="420"/>
        <w:jc w:val="both"/>
        <w:rPr>
          <w:rFonts w:asciiTheme="minorEastAsia" w:hAnsiTheme="minorEastAsia" w:cstheme="minorEastAsia"/>
          <w:sz w:val="21"/>
        </w:rPr>
      </w:pPr>
      <w:r>
        <w:rPr>
          <w:rFonts w:asciiTheme="minorEastAsia" w:hAnsiTheme="minorEastAsia" w:cstheme="minorEastAsia"/>
          <w:sz w:val="21"/>
        </w:rPr>
        <w:t>1.3系统运行出现故障时，能第一时间响应，并立刻到现场予以排查处理；</w:t>
      </w:r>
    </w:p>
    <w:p w14:paraId="7C2AC372">
      <w:pPr>
        <w:pStyle w:val="6"/>
        <w:ind w:firstLine="420"/>
        <w:jc w:val="both"/>
        <w:rPr>
          <w:rFonts w:asciiTheme="minorEastAsia" w:hAnsiTheme="minorEastAsia" w:cstheme="minorEastAsia"/>
          <w:color w:val="0000FF"/>
          <w:sz w:val="21"/>
        </w:rPr>
      </w:pPr>
      <w:r>
        <w:rPr>
          <w:rFonts w:asciiTheme="minorEastAsia" w:hAnsiTheme="minorEastAsia" w:cstheme="minorEastAsia"/>
          <w:color w:val="000000" w:themeColor="text1"/>
          <w:sz w:val="21"/>
          <w14:textFill>
            <w14:solidFill>
              <w14:schemeClr w14:val="tx1"/>
            </w14:solidFill>
          </w14:textFill>
        </w:rPr>
        <w:t>1.4及时响应</w:t>
      </w:r>
      <w:r>
        <w:rPr>
          <w:rFonts w:asciiTheme="minorEastAsia" w:hAnsiTheme="minorEastAsia" w:cstheme="minorEastAsia"/>
          <w:color w:val="000000" w:themeColor="text1"/>
          <w:sz w:val="21"/>
          <w:lang w:eastAsia="zh-CN"/>
          <w14:textFill>
            <w14:solidFill>
              <w14:schemeClr w14:val="tx1"/>
            </w14:solidFill>
          </w14:textFill>
        </w:rPr>
        <w:t>采购人</w:t>
      </w:r>
      <w:r>
        <w:rPr>
          <w:rFonts w:asciiTheme="minorEastAsia" w:hAnsiTheme="minorEastAsia" w:cstheme="minorEastAsia"/>
          <w:color w:val="000000" w:themeColor="text1"/>
          <w:sz w:val="21"/>
          <w14:textFill>
            <w14:solidFill>
              <w14:schemeClr w14:val="tx1"/>
            </w14:solidFill>
          </w14:textFill>
        </w:rPr>
        <w:t>提出的</w:t>
      </w:r>
      <w:r>
        <w:rPr>
          <w:rFonts w:hint="eastAsia" w:asciiTheme="minorEastAsia" w:hAnsiTheme="minorEastAsia" w:cstheme="minorEastAsia"/>
          <w:color w:val="000000" w:themeColor="text1"/>
          <w:sz w:val="21"/>
          <w:lang w:val="en-US" w:eastAsia="zh-CN"/>
          <w14:textFill>
            <w14:solidFill>
              <w14:schemeClr w14:val="tx1"/>
            </w14:solidFill>
          </w14:textFill>
        </w:rPr>
        <w:t>BUG反馈处理</w:t>
      </w:r>
      <w:r>
        <w:rPr>
          <w:rFonts w:asciiTheme="minorEastAsia" w:hAnsiTheme="minorEastAsia" w:cstheme="minorEastAsia"/>
          <w:color w:val="000000" w:themeColor="text1"/>
          <w:sz w:val="21"/>
          <w14:textFill>
            <w14:solidFill>
              <w14:schemeClr w14:val="tx1"/>
            </w14:solidFill>
          </w14:textFill>
        </w:rPr>
        <w:t>，并按照约定的时间</w:t>
      </w:r>
      <w:r>
        <w:rPr>
          <w:rFonts w:hint="eastAsia" w:asciiTheme="minorEastAsia" w:hAnsiTheme="minorEastAsia" w:cstheme="minorEastAsia"/>
          <w:color w:val="000000" w:themeColor="text1"/>
          <w:sz w:val="21"/>
          <w:lang w:val="en-US" w:eastAsia="zh-CN"/>
          <w14:textFill>
            <w14:solidFill>
              <w14:schemeClr w14:val="tx1"/>
            </w14:solidFill>
          </w14:textFill>
        </w:rPr>
        <w:t>对</w:t>
      </w:r>
      <w:r>
        <w:rPr>
          <w:rFonts w:asciiTheme="minorEastAsia" w:hAnsiTheme="minorEastAsia" w:cstheme="minorEastAsia"/>
          <w:color w:val="000000" w:themeColor="text1"/>
          <w:sz w:val="21"/>
          <w14:textFill>
            <w14:solidFill>
              <w14:schemeClr w14:val="tx1"/>
            </w14:solidFill>
          </w14:textFill>
        </w:rPr>
        <w:t>相关</w:t>
      </w:r>
      <w:r>
        <w:rPr>
          <w:rFonts w:hint="eastAsia" w:asciiTheme="minorEastAsia" w:hAnsiTheme="minorEastAsia" w:cstheme="minorEastAsia"/>
          <w:color w:val="000000" w:themeColor="text1"/>
          <w:sz w:val="21"/>
          <w:lang w:val="en-US" w:eastAsia="zh-CN"/>
          <w14:textFill>
            <w14:solidFill>
              <w14:schemeClr w14:val="tx1"/>
            </w14:solidFill>
          </w14:textFill>
        </w:rPr>
        <w:t>BUG</w:t>
      </w:r>
      <w:r>
        <w:rPr>
          <w:rFonts w:asciiTheme="minorEastAsia" w:hAnsiTheme="minorEastAsia" w:cstheme="minorEastAsia"/>
          <w:color w:val="000000" w:themeColor="text1"/>
          <w:sz w:val="21"/>
          <w14:textFill>
            <w14:solidFill>
              <w14:schemeClr w14:val="tx1"/>
            </w14:solidFill>
          </w14:textFill>
        </w:rPr>
        <w:t>的</w:t>
      </w:r>
      <w:r>
        <w:rPr>
          <w:rFonts w:hint="eastAsia" w:asciiTheme="minorEastAsia" w:hAnsiTheme="minorEastAsia" w:cstheme="minorEastAsia"/>
          <w:color w:val="000000" w:themeColor="text1"/>
          <w:sz w:val="21"/>
          <w:lang w:val="en-US" w:eastAsia="zh-CN"/>
          <w14:textFill>
            <w14:solidFill>
              <w14:schemeClr w14:val="tx1"/>
            </w14:solidFill>
          </w14:textFill>
        </w:rPr>
        <w:t>处理</w:t>
      </w:r>
      <w:r>
        <w:rPr>
          <w:rFonts w:asciiTheme="minorEastAsia" w:hAnsiTheme="minorEastAsia" w:cstheme="minorEastAsia"/>
          <w:color w:val="000000" w:themeColor="text1"/>
          <w:sz w:val="21"/>
          <w:lang w:eastAsia="zh-CN"/>
          <w14:textFill>
            <w14:solidFill>
              <w14:schemeClr w14:val="tx1"/>
            </w14:solidFill>
          </w14:textFill>
        </w:rPr>
        <w:t>、测试、上线</w:t>
      </w:r>
      <w:r>
        <w:rPr>
          <w:rFonts w:hint="eastAsia" w:asciiTheme="minorEastAsia" w:hAnsiTheme="minorEastAsia" w:cstheme="minorEastAsia"/>
          <w:color w:val="000000" w:themeColor="text1"/>
          <w:sz w:val="21"/>
          <w:lang w:eastAsia="zh-CN"/>
          <w14:textFill>
            <w14:solidFill>
              <w14:schemeClr w14:val="tx1"/>
            </w14:solidFill>
          </w14:textFill>
        </w:rPr>
        <w:t>，</w:t>
      </w:r>
      <w:r>
        <w:rPr>
          <w:rFonts w:hint="eastAsia" w:asciiTheme="minorEastAsia" w:hAnsiTheme="minorEastAsia" w:cstheme="minorEastAsia"/>
          <w:color w:val="0000FF"/>
          <w:sz w:val="21"/>
          <w:lang w:val="en-US" w:eastAsia="zh-CN"/>
        </w:rPr>
        <w:t>满足至少两周一次需求或BUG的修复迭代上线</w:t>
      </w:r>
      <w:r>
        <w:rPr>
          <w:rFonts w:asciiTheme="minorEastAsia" w:hAnsiTheme="minorEastAsia" w:cstheme="minorEastAsia"/>
          <w:color w:val="0000FF"/>
          <w:sz w:val="21"/>
        </w:rPr>
        <w:t>；</w:t>
      </w:r>
    </w:p>
    <w:p w14:paraId="136FAB19">
      <w:pPr>
        <w:pStyle w:val="6"/>
        <w:ind w:firstLine="420"/>
        <w:jc w:val="both"/>
        <w:rPr>
          <w:rFonts w:asciiTheme="minorEastAsia" w:hAnsiTheme="minorEastAsia" w:cstheme="minorEastAsia"/>
          <w:sz w:val="21"/>
        </w:rPr>
      </w:pPr>
      <w:r>
        <w:rPr>
          <w:rFonts w:asciiTheme="minorEastAsia" w:hAnsiTheme="minorEastAsia" w:cstheme="minorEastAsia"/>
          <w:sz w:val="21"/>
        </w:rPr>
        <w:t>1.5能提供每月运维处理记录单。</w:t>
      </w:r>
    </w:p>
    <w:p w14:paraId="3B8D56EC">
      <w:pPr>
        <w:pStyle w:val="6"/>
        <w:ind w:firstLine="420"/>
        <w:jc w:val="both"/>
        <w:rPr>
          <w:rFonts w:asciiTheme="minorEastAsia" w:hAnsiTheme="minorEastAsia" w:cstheme="minorEastAsia"/>
          <w:sz w:val="21"/>
        </w:rPr>
      </w:pPr>
      <w:r>
        <w:rPr>
          <w:rFonts w:asciiTheme="minorEastAsia" w:hAnsiTheme="minorEastAsia" w:cstheme="minorEastAsia"/>
          <w:sz w:val="21"/>
        </w:rPr>
        <w:t>▲2.新功能与需求开发质量要求</w:t>
      </w:r>
    </w:p>
    <w:p w14:paraId="4742F3E3">
      <w:pPr>
        <w:pStyle w:val="6"/>
        <w:ind w:firstLine="420"/>
        <w:jc w:val="both"/>
        <w:rPr>
          <w:rFonts w:asciiTheme="minorEastAsia" w:hAnsiTheme="minorEastAsia" w:cstheme="minorEastAsia"/>
          <w:sz w:val="21"/>
        </w:rPr>
      </w:pPr>
      <w:r>
        <w:rPr>
          <w:rFonts w:asciiTheme="minorEastAsia" w:hAnsiTheme="minorEastAsia" w:cstheme="minorEastAsia"/>
          <w:sz w:val="21"/>
        </w:rPr>
        <w:t>2.1根据采购人需求，整理并形成需求列表，形成需求调研文档、需求设计文档；</w:t>
      </w:r>
    </w:p>
    <w:p w14:paraId="6B82CB20">
      <w:r>
        <w:rPr>
          <w:rFonts w:asciiTheme="minorEastAsia" w:hAnsiTheme="minorEastAsia" w:cstheme="minorEastAsia"/>
          <w:sz w:val="21"/>
        </w:rPr>
        <w:t>2.2需求经过采购人、中标人双方确认并约定计划完成时间后，能按照双方约定的时间按时完成产品交付。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7EB4E"/>
    <w:multiLevelType w:val="singleLevel"/>
    <w:tmpl w:val="BAA7EB4E"/>
    <w:lvl w:ilvl="0" w:tentative="0">
      <w:start w:val="1"/>
      <w:numFmt w:val="decimal"/>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67D0A"/>
    <w:rsid w:val="024D723A"/>
    <w:rsid w:val="05A0094A"/>
    <w:rsid w:val="134362C1"/>
    <w:rsid w:val="395123E3"/>
    <w:rsid w:val="3A6A580D"/>
    <w:rsid w:val="47502BEB"/>
    <w:rsid w:val="4F967D0A"/>
    <w:rsid w:val="52682678"/>
    <w:rsid w:val="53933738"/>
    <w:rsid w:val="67B31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宋体"/>
      <w:b/>
      <w:sz w:val="2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paragraph" w:customStyle="1" w:styleId="7">
    <w:name w:val="Table Text"/>
    <w:basedOn w:val="1"/>
    <w:semiHidden/>
    <w:qFormat/>
    <w:uiPriority w:val="0"/>
    <w:rPr>
      <w:rFonts w:ascii="宋体" w:hAnsi="宋体" w:eastAsia="宋体" w:cs="宋体"/>
      <w:sz w:val="21"/>
      <w:szCs w:val="21"/>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7904</Words>
  <Characters>8084</Characters>
  <Lines>0</Lines>
  <Paragraphs>0</Paragraphs>
  <TotalTime>79</TotalTime>
  <ScaleCrop>false</ScaleCrop>
  <LinksUpToDate>false</LinksUpToDate>
  <CharactersWithSpaces>8084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2026-05-27T06:51:00Z</dcterms:created>
  <dc:creator>……</dc:creator>
  <cp:lastModifiedBy>呼拉拉</cp:lastModifiedBy>
  <dcterms:modified xsi:type="dcterms:W3CDTF">2026-06-17T02:46:11Z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E1156E4269B44FA7A0F463F700107641_11</vt:lpwstr>
  </property>
  <property fmtid="{D5CDD505-2E9C-101B-9397-08002B2CF9AE}" pid="4" name="KSOTemplateDocerSaveRecord">
    <vt:lpwstr>eyJoZGlkIjoiMzAxMTM4NTQ1ZjBlYjk1ZDQ2YzNlMGY1NTU2ZWQ2ODQiLCJ1c2VySWQiOiI1MjY1NDQ4MjMifQ==</vt:lpwstr>
  </property>
</Properties>
</file>