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431B7">
      <w:pPr>
        <w:pageBreakBefore w:val="0"/>
        <w:wordWrap/>
        <w:spacing w:before="160" w:after="0"/>
        <w:ind w:left="0" w:right="0"/>
        <w:jc w:val="center"/>
        <w:textAlignment w:val="auto"/>
        <w:rPr>
          <w:sz w:val="48"/>
        </w:rPr>
      </w:pPr>
      <w:r>
        <w:rPr>
          <w:rFonts w:ascii="宋体" w:hAnsi="宋体" w:eastAsia="宋体" w:cs="宋体"/>
          <w:b/>
          <w:i w:val="0"/>
          <w:spacing w:val="0"/>
          <w:sz w:val="48"/>
        </w:rPr>
        <w:t>服务器采购需求书</w:t>
      </w:r>
    </w:p>
    <w:p w14:paraId="30634D37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一、项目背景与目标</w:t>
      </w:r>
    </w:p>
    <w:p w14:paraId="5B5FD44E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我院现计划对数据中心核心基础设施进行全面升级。现有IT架构包含一套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虚拟化集群及多台核心业务物理服务器。本次升级旨在解决以下核心问题：</w:t>
      </w:r>
    </w:p>
    <w:p w14:paraId="5927B220">
      <w:pPr>
        <w:pageBreakBefore w:val="0"/>
        <w:numPr>
          <w:ilvl w:val="0"/>
          <w:numId w:val="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核心业务服务器更新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：现有的NHIS（医院信息系统）和集成平台运行于老旧物理服务器上，设备使用年限已超过5年，硬件性能逐渐落后，故障风险日益增加，急需进行硬件更新换代。</w:t>
      </w:r>
    </w:p>
    <w:p w14:paraId="71F95D33">
      <w:pPr>
        <w:pageBreakBefore w:val="0"/>
        <w:numPr>
          <w:ilvl w:val="0"/>
          <w:numId w:val="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虚拟化资源池扩容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：现有的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虚拟化集群需进行资源扩容，以承载新建业务系统（如体检系统、急诊系统等）的虚拟机需求。</w:t>
      </w:r>
    </w:p>
    <w:p w14:paraId="7B062421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项目目标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14CE34B1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本次采购旨在购置3台高性能x86架构服务器，其中2台作为NHIS和集成平台系统的独立物理生产主机，直接替换现有老旧物理服务器；1台作为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虚拟化集群节点，用于扩充虚拟化资源池，为体检系统、急诊系统等提供虚拟化服务。</w:t>
      </w:r>
    </w:p>
    <w:p w14:paraId="46F3F8DB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二、现有环境与需求分析</w:t>
      </w:r>
    </w:p>
    <w:p w14:paraId="6FDC2697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2.1 现有环境概况</w:t>
      </w:r>
    </w:p>
    <w:p w14:paraId="39F87F98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核心业务物理服务器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：NHIS和集成平台分别运行于独立的物理服务器上，设备使用超过5年，存在性能瓶颈和硬件老化风险。</w:t>
      </w:r>
    </w:p>
    <w:p w14:paraId="1E11B09A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现有虚拟化集群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：运行一套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虚拟化环境，承载部分业务系统的虚拟机。</w:t>
      </w:r>
    </w:p>
    <w:p w14:paraId="5C00C9EA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存储架构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：采用集中式磁盘阵列柜，通过光纤通道（FC）互联。</w:t>
      </w:r>
    </w:p>
    <w:p w14:paraId="4D1F2482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2.2 替换与扩容任务</w:t>
      </w:r>
    </w:p>
    <w:p w14:paraId="2EF6E1B4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NHIS系统替换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：原物理服务器 → 迁移至新采购的物理服务</w:t>
      </w:r>
      <w:bookmarkStart w:id="0" w:name="_GoBack"/>
      <w:bookmarkEnd w:id="0"/>
      <w:r>
        <w:rPr>
          <w:rFonts w:ascii="宋体" w:hAnsi="宋体" w:eastAsia="宋体" w:cs="宋体"/>
          <w:b w:val="0"/>
          <w:i w:val="0"/>
          <w:spacing w:val="0"/>
          <w:sz w:val="24"/>
        </w:rPr>
        <w:t>器（物理独占模式）</w:t>
      </w:r>
    </w:p>
    <w:p w14:paraId="0DBE2DBD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集成平台系统替换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：原物理服务器 → 迁移至新采购的物理服务器（物理独占模式）</w:t>
      </w:r>
    </w:p>
    <w:p w14:paraId="78D4299F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虚拟化扩容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：新增1台服务器加入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集群，为体检系统、急诊系统等提供虚拟化资源</w:t>
      </w:r>
    </w:p>
    <w:p w14:paraId="554EEFEE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三、新服务器技术规格要求</w:t>
      </w:r>
    </w:p>
    <w:p w14:paraId="33723953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3.1 核心硬件配置标准</w:t>
      </w:r>
    </w:p>
    <w:p w14:paraId="7A1099E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3.1.1 处理器（CPU）</w:t>
      </w:r>
    </w:p>
    <w:p w14:paraId="3D852E69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架构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：x86架构机架式服务器</w:t>
      </w:r>
    </w:p>
    <w:p w14:paraId="13FCF6C2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配置要求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5536A144">
      <w:pPr>
        <w:pageBreakBefore w:val="0"/>
        <w:numPr>
          <w:ilvl w:val="1"/>
          <w:numId w:val="5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NHIS物理服务器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：配置2颗Intel Xeon Silver 4210R（2.40GHz）或同级别、同代次及以上型号，单颗物理核心数≥10核，整机物理核心总数≥20核</w:t>
      </w:r>
    </w:p>
    <w:p w14:paraId="5E891329">
      <w:pPr>
        <w:pageBreakBefore w:val="0"/>
        <w:numPr>
          <w:ilvl w:val="1"/>
          <w:numId w:val="5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集成平台物理服务器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：配置2颗Intel Xeon Gold 5218（2.30GHz）或同级别、同代次及以上型号，单颗物理核心数≥16核，整机物理核心总数≥32核</w:t>
      </w:r>
    </w:p>
    <w:p w14:paraId="1837CD4D">
      <w:pPr>
        <w:pageBreakBefore w:val="0"/>
        <w:numPr>
          <w:ilvl w:val="1"/>
          <w:numId w:val="5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hint="eastAsia" w:ascii="宋体" w:hAnsi="宋体" w:eastAsia="宋体" w:cs="宋体"/>
          <w:b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/>
          <w:i w:val="0"/>
          <w:spacing w:val="0"/>
          <w:sz w:val="24"/>
        </w:rPr>
        <w:t>虚拟化节点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：配置4颗Intel Xeon Gold 6348H（2.30GHz）或同级别、同代次及以上型号，单颗物理核心数≥24核，整机物理核心总数≥96核（逻辑线程≥192线程）</w:t>
      </w:r>
    </w:p>
    <w:p w14:paraId="57BCFFB5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3.1.2 内存（RAM）</w:t>
      </w:r>
    </w:p>
    <w:p w14:paraId="3FA15C77">
      <w:pPr>
        <w:pageBreakBefore w:val="0"/>
        <w:numPr>
          <w:ilvl w:val="0"/>
          <w:numId w:val="6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规格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：DDR4 3200MHz ECC Registered</w:t>
      </w:r>
    </w:p>
    <w:p w14:paraId="1099D976">
      <w:pPr>
        <w:pageBreakBefore w:val="0"/>
        <w:numPr>
          <w:ilvl w:val="0"/>
          <w:numId w:val="6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容量要求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591AC376">
      <w:pPr>
        <w:pageBreakBefore w:val="0"/>
        <w:numPr>
          <w:ilvl w:val="1"/>
          <w:numId w:val="7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NHIS物理服务器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：实得可用容量≥64GB</w:t>
      </w:r>
    </w:p>
    <w:p w14:paraId="7AB2347D">
      <w:pPr>
        <w:pageBreakBefore w:val="0"/>
        <w:numPr>
          <w:ilvl w:val="1"/>
          <w:numId w:val="7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集成平台物理服务器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：实得可用容量≥256GB</w:t>
      </w:r>
    </w:p>
    <w:p w14:paraId="07746537">
      <w:pPr>
        <w:pageBreakBefore w:val="0"/>
        <w:numPr>
          <w:ilvl w:val="1"/>
          <w:numId w:val="7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hint="eastAsia" w:ascii="宋体" w:hAnsi="宋体" w:eastAsia="宋体" w:cs="宋体"/>
          <w:b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/>
          <w:i w:val="0"/>
          <w:spacing w:val="0"/>
          <w:sz w:val="24"/>
        </w:rPr>
        <w:t>虚拟化节点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：实得可用容量≥1.5TB</w:t>
      </w:r>
    </w:p>
    <w:p w14:paraId="31410D5B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3.1.3 本地存储（系统盘）</w:t>
      </w:r>
    </w:p>
    <w:p w14:paraId="6789E065">
      <w:pPr>
        <w:pageBreakBefore w:val="0"/>
        <w:numPr>
          <w:ilvl w:val="0"/>
          <w:numId w:val="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NHIS物理服务器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：配置2块1TB企业级SATA/SAS SSD，支持RAID 1配置</w:t>
      </w:r>
    </w:p>
    <w:p w14:paraId="009DA6BB">
      <w:pPr>
        <w:pageBreakBefore w:val="0"/>
        <w:numPr>
          <w:ilvl w:val="0"/>
          <w:numId w:val="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集成平台物理服务器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：配置2块1.5TB企业级SATA/SAS SSD，支持RAID 1配置</w:t>
      </w:r>
    </w:p>
    <w:p w14:paraId="5F44CEF1">
      <w:pPr>
        <w:pageBreakBefore w:val="0"/>
        <w:numPr>
          <w:ilvl w:val="0"/>
          <w:numId w:val="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hint="eastAsia" w:ascii="宋体" w:hAnsi="宋体" w:eastAsia="宋体" w:cs="宋体"/>
          <w:b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/>
          <w:i w:val="0"/>
          <w:spacing w:val="0"/>
          <w:sz w:val="24"/>
        </w:rPr>
        <w:t>虚拟化节点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：配置2块960GB企业级SATA/SAS SSD，支持RAID 1配置</w:t>
      </w:r>
    </w:p>
    <w:p w14:paraId="4A9A2254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RAID控制器要求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：配置硬件RAID控制器，支持RAID 0、1、5、10等常见RAID级别，便于未来根据业务需求灵活调整存储配置。</w:t>
      </w:r>
    </w:p>
    <w:p w14:paraId="51F39B38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3.2 网络接口与冗余架构</w:t>
      </w:r>
    </w:p>
    <w:p w14:paraId="36128D79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3.2.1 核心业务物理服务器（NHIS/集成平台用）</w:t>
      </w:r>
    </w:p>
    <w:p w14:paraId="00025AF3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为实现网络链路的物理隔离与全冗余，防止单点故障，需配置：</w:t>
      </w:r>
    </w:p>
    <w:tbl>
      <w:tblPr>
        <w:tblStyle w:val="2"/>
        <w:tblW w:w="4998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72"/>
        <w:gridCol w:w="2772"/>
        <w:gridCol w:w="2773"/>
      </w:tblGrid>
      <w:tr w14:paraId="3B6261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  <w:shd w:val="clear" w:color="auto" w:fill="D7D7D7" w:themeFill="background1" w:themeFillShade="D8"/>
          </w:tcPr>
          <w:p w14:paraId="52AFBC38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网络类型</w:t>
            </w:r>
          </w:p>
        </w:tc>
        <w:tc>
          <w:tcPr>
            <w:tcW w:w="1666" w:type="pct"/>
            <w:shd w:val="clear" w:color="auto" w:fill="D7D7D7" w:themeFill="background1" w:themeFillShade="D8"/>
          </w:tcPr>
          <w:p w14:paraId="74C2F69B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配置要求</w:t>
            </w:r>
          </w:p>
        </w:tc>
        <w:tc>
          <w:tcPr>
            <w:tcW w:w="1666" w:type="pct"/>
            <w:shd w:val="clear" w:color="auto" w:fill="D7D7D7" w:themeFill="background1" w:themeFillShade="D8"/>
          </w:tcPr>
          <w:p w14:paraId="6991B42F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连接方式</w:t>
            </w:r>
          </w:p>
        </w:tc>
      </w:tr>
      <w:tr w14:paraId="67AB35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5D38C5E3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业务网络</w:t>
            </w:r>
          </w:p>
        </w:tc>
        <w:tc>
          <w:tcPr>
            <w:tcW w:w="1666" w:type="pct"/>
          </w:tcPr>
          <w:p w14:paraId="37984851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1张双端口万兆（10GbE）光纤网卡</w:t>
            </w:r>
          </w:p>
        </w:tc>
        <w:tc>
          <w:tcPr>
            <w:tcW w:w="1666" w:type="pct"/>
          </w:tcPr>
          <w:p w14:paraId="5D05562B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配置网卡绑定（LACP），连接至业务接入交换机</w:t>
            </w:r>
          </w:p>
        </w:tc>
      </w:tr>
      <w:tr w14:paraId="67BE4D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670DA34C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管理网络</w:t>
            </w:r>
          </w:p>
        </w:tc>
        <w:tc>
          <w:tcPr>
            <w:tcW w:w="1666" w:type="pct"/>
          </w:tcPr>
          <w:p w14:paraId="75F96498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1张独立千兆电口或万兆光口</w:t>
            </w:r>
          </w:p>
        </w:tc>
        <w:tc>
          <w:tcPr>
            <w:tcW w:w="1666" w:type="pct"/>
          </w:tcPr>
          <w:p w14:paraId="60DDD442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独立于业务网卡，确保管理通道物理隔离</w:t>
            </w:r>
          </w:p>
        </w:tc>
      </w:tr>
      <w:tr w14:paraId="4F39AB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45CDBF08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带外管理</w:t>
            </w:r>
          </w:p>
        </w:tc>
        <w:tc>
          <w:tcPr>
            <w:tcW w:w="1666" w:type="pct"/>
          </w:tcPr>
          <w:p w14:paraId="5D845056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1个独立千兆电口（IPMI/iDRAC/ILO）</w:t>
            </w:r>
          </w:p>
        </w:tc>
        <w:tc>
          <w:tcPr>
            <w:tcW w:w="1666" w:type="pct"/>
          </w:tcPr>
          <w:p w14:paraId="0B207E8A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用于底层硬件运维</w:t>
            </w:r>
          </w:p>
        </w:tc>
      </w:tr>
    </w:tbl>
    <w:p w14:paraId="1AA65EBF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 xml:space="preserve">3.2.2 </w:t>
      </w:r>
      <w:r>
        <w:rPr>
          <w:rFonts w:hint="eastAsia" w:ascii="宋体" w:hAnsi="宋体" w:eastAsia="宋体" w:cs="宋体"/>
          <w:b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/>
          <w:i w:val="0"/>
          <w:spacing w:val="0"/>
          <w:sz w:val="24"/>
        </w:rPr>
        <w:t>虚拟化节点</w:t>
      </w:r>
    </w:p>
    <w:tbl>
      <w:tblPr>
        <w:tblStyle w:val="2"/>
        <w:tblW w:w="4998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72"/>
        <w:gridCol w:w="2772"/>
        <w:gridCol w:w="2773"/>
      </w:tblGrid>
      <w:tr w14:paraId="77E3CD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  <w:shd w:val="clear" w:color="auto" w:fill="D7D7D7" w:themeFill="background1" w:themeFillShade="D8"/>
          </w:tcPr>
          <w:p w14:paraId="6872E824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网络类型</w:t>
            </w:r>
          </w:p>
        </w:tc>
        <w:tc>
          <w:tcPr>
            <w:tcW w:w="1666" w:type="pct"/>
            <w:shd w:val="clear" w:color="auto" w:fill="D7D7D7" w:themeFill="background1" w:themeFillShade="D8"/>
          </w:tcPr>
          <w:p w14:paraId="389FDB26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配置要求</w:t>
            </w:r>
          </w:p>
        </w:tc>
        <w:tc>
          <w:tcPr>
            <w:tcW w:w="1666" w:type="pct"/>
            <w:shd w:val="clear" w:color="auto" w:fill="D7D7D7" w:themeFill="background1" w:themeFillShade="D8"/>
          </w:tcPr>
          <w:p w14:paraId="70B17E89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连接方式</w:t>
            </w:r>
          </w:p>
        </w:tc>
      </w:tr>
      <w:tr w14:paraId="345B6F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5DD94E1D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业务网络</w:t>
            </w:r>
          </w:p>
        </w:tc>
        <w:tc>
          <w:tcPr>
            <w:tcW w:w="1666" w:type="pct"/>
          </w:tcPr>
          <w:p w14:paraId="6603B571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2张双端口万兆（10GbE）光纤网卡</w:t>
            </w:r>
          </w:p>
        </w:tc>
        <w:tc>
          <w:tcPr>
            <w:tcW w:w="1666" w:type="pct"/>
          </w:tcPr>
          <w:p w14:paraId="4B0B081A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用于虚拟机业务流量和vMotion流量分离</w:t>
            </w:r>
          </w:p>
        </w:tc>
      </w:tr>
      <w:tr w14:paraId="638BF3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23E7142E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管理网络</w:t>
            </w:r>
          </w:p>
        </w:tc>
        <w:tc>
          <w:tcPr>
            <w:tcW w:w="1666" w:type="pct"/>
          </w:tcPr>
          <w:p w14:paraId="689E558D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1张双端口万兆（10GbE）光纤网卡</w:t>
            </w:r>
          </w:p>
        </w:tc>
        <w:tc>
          <w:tcPr>
            <w:tcW w:w="1666" w:type="pct"/>
          </w:tcPr>
          <w:p w14:paraId="517B4945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用于ESXi管理及vCenter通信</w:t>
            </w:r>
          </w:p>
        </w:tc>
      </w:tr>
      <w:tr w14:paraId="01C96CF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774385EB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存储网络</w:t>
            </w:r>
          </w:p>
        </w:tc>
        <w:tc>
          <w:tcPr>
            <w:tcW w:w="1666" w:type="pct"/>
          </w:tcPr>
          <w:p w14:paraId="523FB3EA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2张双端口16Gb/32Gb HBA卡</w:t>
            </w:r>
          </w:p>
        </w:tc>
        <w:tc>
          <w:tcPr>
            <w:tcW w:w="1666" w:type="pct"/>
          </w:tcPr>
          <w:p w14:paraId="49F89D33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连接至共享存储阵列</w:t>
            </w:r>
          </w:p>
        </w:tc>
      </w:tr>
      <w:tr w14:paraId="43D334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66" w:type="pct"/>
          </w:tcPr>
          <w:p w14:paraId="6F95AFFD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带外管理</w:t>
            </w:r>
          </w:p>
        </w:tc>
        <w:tc>
          <w:tcPr>
            <w:tcW w:w="1666" w:type="pct"/>
          </w:tcPr>
          <w:p w14:paraId="02FDC755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1个独立千兆电口</w:t>
            </w:r>
          </w:p>
        </w:tc>
        <w:tc>
          <w:tcPr>
            <w:tcW w:w="1666" w:type="pct"/>
          </w:tcPr>
          <w:p w14:paraId="09470062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用于底层硬件运维</w:t>
            </w:r>
          </w:p>
        </w:tc>
      </w:tr>
    </w:tbl>
    <w:p w14:paraId="3EFFE572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3.3 服务器配置推荐方案</w:t>
      </w:r>
    </w:p>
    <w:p w14:paraId="77B99309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3.3.1 NHIS物理服务器配置（1台）</w:t>
      </w:r>
    </w:p>
    <w:p w14:paraId="1D035F9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推荐配置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73A18E4E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服务器型号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：主流品牌2U机架式服务器（如Dell PowerEdge R750、HPE ProLiant DL380 Gen10 Plus、H3C UniServer R4900 G5等）</w:t>
      </w:r>
    </w:p>
    <w:p w14:paraId="6CCC7EDE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处理器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：2× Intel Xeon Silver 4210R (10核/20线程，2.40GHz)</w:t>
      </w:r>
    </w:p>
    <w:p w14:paraId="418F4F8B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内存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：64GB DDR4 3200MHz ECC Registered</w:t>
      </w:r>
    </w:p>
    <w:p w14:paraId="1EFECBA3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系统盘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：2× 1TB SAS SSD，支持RAID 1配置</w:t>
      </w:r>
    </w:p>
    <w:p w14:paraId="442A1F6F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网卡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：Mellanox ConnectX-4 Lx 双端口10GbE SFP+ 网卡 ×1</w:t>
      </w:r>
    </w:p>
    <w:p w14:paraId="045260A6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电源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：双冗余电源（1+1冗余）</w:t>
      </w:r>
    </w:p>
    <w:p w14:paraId="50FC3B08">
      <w:pPr>
        <w:pageBreakBefore w:val="0"/>
        <w:numPr>
          <w:ilvl w:val="0"/>
          <w:numId w:val="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RAID控制器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：硬件RAID控制器，支持多种RAID级别</w:t>
      </w:r>
    </w:p>
    <w:p w14:paraId="59FB495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3.3.2 集成平台物理服务器配置（1台）</w:t>
      </w:r>
    </w:p>
    <w:p w14:paraId="0852A7A4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推荐配置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0BA81C68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服务器型号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：主流品牌2U机架式服务器</w:t>
      </w:r>
    </w:p>
    <w:p w14:paraId="588EB1AF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处理器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：2× Intel Xeon Gold 5218 (16核/32线程，2.30GHz)</w:t>
      </w:r>
    </w:p>
    <w:p w14:paraId="34D0E38B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内存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：256GB DDR4 3200MHz ECC Registered</w:t>
      </w:r>
    </w:p>
    <w:p w14:paraId="1A41719B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系统盘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：2× 1.5TB SAS SSD，支持RAID 1配置</w:t>
      </w:r>
    </w:p>
    <w:p w14:paraId="2D29A0E6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网卡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：Mellanox ConnectX-4 Lx 双端口10GbE SFP+ 网卡 ×1</w:t>
      </w:r>
    </w:p>
    <w:p w14:paraId="36AF31BB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电源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：双冗余电源（1+1冗余）</w:t>
      </w:r>
    </w:p>
    <w:p w14:paraId="5A8A572B">
      <w:pPr>
        <w:pageBreakBefore w:val="0"/>
        <w:numPr>
          <w:ilvl w:val="0"/>
          <w:numId w:val="1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RAID控制器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：硬件RAID控制器，支持多种RAID级别</w:t>
      </w:r>
    </w:p>
    <w:p w14:paraId="4C94BB24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 xml:space="preserve">3.3.3 </w:t>
      </w:r>
      <w:r>
        <w:rPr>
          <w:rFonts w:hint="eastAsia" w:ascii="宋体" w:hAnsi="宋体" w:eastAsia="宋体" w:cs="宋体"/>
          <w:b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/>
          <w:i w:val="0"/>
          <w:spacing w:val="0"/>
          <w:sz w:val="24"/>
        </w:rPr>
        <w:t>虚拟化节点配置（1台）</w:t>
      </w:r>
    </w:p>
    <w:p w14:paraId="0A82E95B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推荐配置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33F7AD5F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服务器型号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：主流品牌2U机架式服务器</w:t>
      </w:r>
    </w:p>
    <w:p w14:paraId="1695998C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处理器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：4× Intel Xeon Gold 6348H (24核/48线程，2.30GHz)</w:t>
      </w:r>
    </w:p>
    <w:p w14:paraId="55EE6AF7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内存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：1.5TB DDR4 3200MHz ECC Registered</w:t>
      </w:r>
    </w:p>
    <w:p w14:paraId="014553CC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系统盘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：2× 960GB SAS SSD RAID 1</w:t>
      </w:r>
    </w:p>
    <w:p w14:paraId="6B36DD93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HBA卡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：QLogic QLE2562 双端口16Gb FC HBA卡 ×2</w:t>
      </w:r>
    </w:p>
    <w:p w14:paraId="2D9F9512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网卡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：Mellanox ConnectX-5 双端口25GbE SFP28 网卡 ×2</w:t>
      </w:r>
    </w:p>
    <w:p w14:paraId="36E8176E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电源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：双冗余电源（1+1冗余）</w:t>
      </w:r>
    </w:p>
    <w:p w14:paraId="335D2799">
      <w:pPr>
        <w:pageBreakBefore w:val="0"/>
        <w:numPr>
          <w:ilvl w:val="0"/>
          <w:numId w:val="1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RAID控制器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：硬件RAID 1控制器</w:t>
      </w:r>
    </w:p>
    <w:p w14:paraId="548C3096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四、利旧与置换抵扣专项要求</w:t>
      </w:r>
    </w:p>
    <w:p w14:paraId="550B0B38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4.1 内存设备处理</w:t>
      </w:r>
    </w:p>
    <w:p w14:paraId="147D9EA4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4.1.1 直接利旧（必须使用）</w:t>
      </w:r>
    </w:p>
    <w:p w14:paraId="3D2D1654">
      <w:pPr>
        <w:pageBreakBefore w:val="0"/>
        <w:numPr>
          <w:ilvl w:val="0"/>
          <w:numId w:val="1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设备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：skhynix 64GB DDR4 3200AA 内存（4条）</w:t>
      </w:r>
    </w:p>
    <w:p w14:paraId="727A9EB2">
      <w:pPr>
        <w:pageBreakBefore w:val="0"/>
        <w:numPr>
          <w:ilvl w:val="0"/>
          <w:numId w:val="1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用途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：优先用于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虚拟化节点</w:t>
      </w:r>
    </w:p>
    <w:p w14:paraId="7F115B87">
      <w:pPr>
        <w:pageBreakBefore w:val="0"/>
        <w:numPr>
          <w:ilvl w:val="0"/>
          <w:numId w:val="1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：供应商需将这4条内存安装至新服务器，并负责调试至正常运行状态</w:t>
      </w:r>
    </w:p>
    <w:p w14:paraId="29D0EFC1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4.1.2 置换抵扣（回收旧内存）</w:t>
      </w:r>
    </w:p>
    <w:p w14:paraId="1691ECD4">
      <w:pPr>
        <w:pageBreakBefore w:val="0"/>
        <w:numPr>
          <w:ilvl w:val="0"/>
          <w:numId w:val="1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设备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0B51BF59">
      <w:pPr>
        <w:pageBreakBefore w:val="0"/>
        <w:numPr>
          <w:ilvl w:val="1"/>
          <w:numId w:val="14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联想 16GB DDR4 PC4-2400T-RB1-11 内存（13条）</w:t>
      </w:r>
    </w:p>
    <w:p w14:paraId="3E27BFEE">
      <w:pPr>
        <w:pageBreakBefore w:val="0"/>
        <w:numPr>
          <w:ilvl w:val="1"/>
          <w:numId w:val="14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skhynix 16GB DDR4 2400T 内存（1条）</w:t>
      </w:r>
    </w:p>
    <w:p w14:paraId="4994D0EA">
      <w:pPr>
        <w:pageBreakBefore w:val="0"/>
        <w:numPr>
          <w:ilvl w:val="1"/>
          <w:numId w:val="14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skhynix 16GB DDR4 2666V 内存（2条）</w:t>
      </w:r>
    </w:p>
    <w:p w14:paraId="6B6EB022">
      <w:pPr>
        <w:pageBreakBefore w:val="0"/>
        <w:numPr>
          <w:ilvl w:val="1"/>
          <w:numId w:val="14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SAMSUNG 16GB DDR4 2666V 内存（1条）</w:t>
      </w:r>
    </w:p>
    <w:p w14:paraId="486625D6">
      <w:pPr>
        <w:pageBreakBefore w:val="0"/>
        <w:numPr>
          <w:ilvl w:val="0"/>
          <w:numId w:val="1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：供应商需对上述17条内存进行回收，并按当前市场回收价格在投标总价中给予全额抵扣</w:t>
      </w:r>
    </w:p>
    <w:p w14:paraId="386F5EB0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4.2 硬盘设备处理</w:t>
      </w:r>
    </w:p>
    <w:p w14:paraId="1ECF3B75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4.2.1 置换抵扣（回收旧硬盘）</w:t>
      </w:r>
    </w:p>
    <w:p w14:paraId="75556572">
      <w:pPr>
        <w:pageBreakBefore w:val="0"/>
        <w:numPr>
          <w:ilvl w:val="0"/>
          <w:numId w:val="15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设备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</w:t>
      </w:r>
    </w:p>
    <w:p w14:paraId="2C5ED95E">
      <w:pPr>
        <w:pageBreakBefore w:val="0"/>
        <w:numPr>
          <w:ilvl w:val="1"/>
          <w:numId w:val="16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Dell EMC 2.5寸 1.92TB SAS SSD（型号：PM1643a）</w:t>
      </w:r>
    </w:p>
    <w:p w14:paraId="728230C9">
      <w:pPr>
        <w:pageBreakBefore w:val="0"/>
        <w:numPr>
          <w:ilvl w:val="1"/>
          <w:numId w:val="16"/>
        </w:numPr>
        <w:wordWrap/>
        <w:spacing w:before="160" w:after="0"/>
        <w:ind w:left="88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IBM 2.5寸 2.4TB SAS硬盘（型号：ST2400MM0129）</w:t>
      </w:r>
    </w:p>
    <w:p w14:paraId="34A4FF22">
      <w:pPr>
        <w:pageBreakBefore w:val="0"/>
        <w:numPr>
          <w:ilvl w:val="0"/>
          <w:numId w:val="15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要求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：供应商需对上述硬盘进行回收，并按当前市场二手残值在投标总价中给予全额抵扣</w:t>
      </w:r>
    </w:p>
    <w:p w14:paraId="6CF648CE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4.3 抵扣执行说明</w:t>
      </w:r>
    </w:p>
    <w:p w14:paraId="5C4639D7">
      <w:pPr>
        <w:pageBreakBefore w:val="0"/>
        <w:numPr>
          <w:ilvl w:val="0"/>
          <w:numId w:val="17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投标报价单中需单独列出"旧设备回收/置换抵扣金额"一项，并在合同总价中扣除</w:t>
      </w:r>
    </w:p>
    <w:p w14:paraId="724DF152">
      <w:pPr>
        <w:pageBreakBefore w:val="0"/>
        <w:numPr>
          <w:ilvl w:val="0"/>
          <w:numId w:val="17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若供应商无法回收上述设备，需按评估价值直接折现抵扣货款</w:t>
      </w:r>
    </w:p>
    <w:p w14:paraId="4E76D23D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五、交付与技术服务要求</w:t>
      </w:r>
    </w:p>
    <w:p w14:paraId="2B323538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5.1 物理环境部署</w:t>
      </w:r>
    </w:p>
    <w:p w14:paraId="4B7DA647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5.1.1 核心业务服务器部署</w:t>
      </w:r>
    </w:p>
    <w:p w14:paraId="35FB2BCA">
      <w:pPr>
        <w:pageBreakBefore w:val="0"/>
        <w:numPr>
          <w:ilvl w:val="0"/>
          <w:numId w:val="1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供应商需负责2台NHIS和集成平台物理服务器的上架、加电、硬件检测及BIOS初始化配置</w:t>
      </w:r>
    </w:p>
    <w:p w14:paraId="15EC48A5">
      <w:pPr>
        <w:pageBreakBefore w:val="0"/>
        <w:numPr>
          <w:ilvl w:val="0"/>
          <w:numId w:val="1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负责配置网络连接，确保新服务器能正常访问业务网络</w:t>
      </w:r>
    </w:p>
    <w:p w14:paraId="35502963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5.1.2 虚拟化节点部署</w:t>
      </w:r>
    </w:p>
    <w:p w14:paraId="62B8AF13">
      <w:pPr>
        <w:pageBreakBefore w:val="0"/>
        <w:numPr>
          <w:ilvl w:val="0"/>
          <w:numId w:val="1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供应商需负责1台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虚拟化节点的上架、加电、硬件检测</w:t>
      </w:r>
    </w:p>
    <w:p w14:paraId="3FD0991F">
      <w:pPr>
        <w:pageBreakBefore w:val="0"/>
        <w:numPr>
          <w:ilvl w:val="0"/>
          <w:numId w:val="1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负责将该节点加入现有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集群，配置网络及存储连接</w:t>
      </w:r>
    </w:p>
    <w:p w14:paraId="6A40C945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5.2 数据迁移服务</w:t>
      </w:r>
    </w:p>
    <w:p w14:paraId="299D7A0B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5.2.1 物理机迁移（P2P）</w:t>
      </w:r>
    </w:p>
    <w:p w14:paraId="02A0CBC0">
      <w:pPr>
        <w:pageBreakBefore w:val="0"/>
        <w:numPr>
          <w:ilvl w:val="0"/>
          <w:numId w:val="2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供应商需协助将原NHIS和集成平台物理服务器上的操作系统、应用软件及配置数据，完整迁移至新采购的物理服务器上</w:t>
      </w:r>
    </w:p>
    <w:p w14:paraId="400F797A">
      <w:pPr>
        <w:pageBreakBefore w:val="0"/>
        <w:numPr>
          <w:ilvl w:val="0"/>
          <w:numId w:val="2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要求：提供详细的数据迁移方案（如磁盘克隆、数据库导出导入等），并制定割接窗口计划，确保业务中断时间最短（建议在夜间维护窗口进行）</w:t>
      </w:r>
    </w:p>
    <w:p w14:paraId="7E57DE6F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5.2.2 虚拟化环境配置</w:t>
      </w:r>
    </w:p>
    <w:p w14:paraId="583A1075">
      <w:pPr>
        <w:pageBreakBefore w:val="0"/>
        <w:numPr>
          <w:ilvl w:val="0"/>
          <w:numId w:val="2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负责在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集群中创建体检系统、急诊系统的虚拟机</w:t>
      </w:r>
    </w:p>
    <w:p w14:paraId="2363ECD8">
      <w:pPr>
        <w:pageBreakBefore w:val="0"/>
        <w:numPr>
          <w:ilvl w:val="0"/>
          <w:numId w:val="2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配置虚拟机资源分配，确保满足各系统性能需求</w:t>
      </w:r>
    </w:p>
    <w:p w14:paraId="745C84CF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5.3 网络与存储割接</w:t>
      </w:r>
    </w:p>
    <w:p w14:paraId="306B9B68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5.3.1 核心业务服务器</w:t>
      </w:r>
    </w:p>
    <w:p w14:paraId="21E6F91C">
      <w:pPr>
        <w:pageBreakBefore w:val="0"/>
        <w:numPr>
          <w:ilvl w:val="0"/>
          <w:numId w:val="2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负责配置新服务器的网络参数（IP地址、网关等），确保与原物理机一致，避免网络路由变更</w:t>
      </w:r>
    </w:p>
    <w:p w14:paraId="6A35E5A4">
      <w:pPr>
        <w:pageBreakBefore w:val="0"/>
        <w:numPr>
          <w:ilvl w:val="0"/>
          <w:numId w:val="2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配置本地存储RAID级别，根据业务需求选择合适的RAID配置</w:t>
      </w:r>
    </w:p>
    <w:p w14:paraId="0DE686BC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5.3.2 虚拟化节点</w:t>
      </w:r>
    </w:p>
    <w:p w14:paraId="07F96A22">
      <w:pPr>
        <w:pageBreakBefore w:val="0"/>
        <w:numPr>
          <w:ilvl w:val="0"/>
          <w:numId w:val="2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负责配置虚拟交换机、端口组及网络策略</w:t>
      </w:r>
    </w:p>
    <w:p w14:paraId="2FA87276">
      <w:pPr>
        <w:pageBreakBefore w:val="0"/>
        <w:numPr>
          <w:ilvl w:val="0"/>
          <w:numId w:val="2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配置存储连接，确保能访问共享存储资源</w:t>
      </w:r>
    </w:p>
    <w:p w14:paraId="2C0B693C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5.4 旧设备交接</w:t>
      </w:r>
    </w:p>
    <w:p w14:paraId="4259D22C">
      <w:pPr>
        <w:pageBreakBefore w:val="0"/>
        <w:numPr>
          <w:ilvl w:val="0"/>
          <w:numId w:val="2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负责旧物理服务器的拆卸、下架及数据清除（需提供数据销毁证明）</w:t>
      </w:r>
    </w:p>
    <w:p w14:paraId="777BC94B">
      <w:pPr>
        <w:pageBreakBefore w:val="0"/>
        <w:numPr>
          <w:ilvl w:val="0"/>
          <w:numId w:val="2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负责上述旧内存及硬盘的清点与回收运输</w:t>
      </w:r>
    </w:p>
    <w:p w14:paraId="36B99F3D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5.5 质保要求</w:t>
      </w:r>
    </w:p>
    <w:p w14:paraId="0CF49557">
      <w:pPr>
        <w:pageBreakBefore w:val="0"/>
        <w:numPr>
          <w:ilvl w:val="0"/>
          <w:numId w:val="25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提供3年原厂上门保修服务</w:t>
      </w:r>
    </w:p>
    <w:p w14:paraId="2B2BB208">
      <w:pPr>
        <w:pageBreakBefore w:val="0"/>
        <w:numPr>
          <w:ilvl w:val="0"/>
          <w:numId w:val="25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关键部件（电源、硬盘、主板）备件到场时间≤4小时</w:t>
      </w:r>
    </w:p>
    <w:p w14:paraId="4099C3DA">
      <w:pPr>
        <w:pageBreakBefore w:val="0"/>
        <w:numPr>
          <w:ilvl w:val="0"/>
          <w:numId w:val="25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提供7×24小时技术支持服务</w:t>
      </w:r>
    </w:p>
    <w:p w14:paraId="0FF194A2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六、项目实施计划</w:t>
      </w:r>
    </w:p>
    <w:p w14:paraId="0E7DE0A1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风险控制措施</w:t>
      </w:r>
    </w:p>
    <w:p w14:paraId="70AE0FAF">
      <w:pPr>
        <w:pageBreakBefore w:val="0"/>
        <w:numPr>
          <w:ilvl w:val="0"/>
          <w:numId w:val="26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业务连续性保障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：所有迁移操作安排在业务低峰期进行，制定详细的回退方案</w:t>
      </w:r>
    </w:p>
    <w:p w14:paraId="3B136DF0">
      <w:pPr>
        <w:pageBreakBefore w:val="0"/>
        <w:numPr>
          <w:ilvl w:val="0"/>
          <w:numId w:val="26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数据安全保障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：迁移前进行完整数据备份，旧设备数据清除需提供证明</w:t>
      </w:r>
    </w:p>
    <w:p w14:paraId="58E7A1F6">
      <w:pPr>
        <w:pageBreakBefore w:val="0"/>
        <w:numPr>
          <w:ilvl w:val="0"/>
          <w:numId w:val="26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/>
          <w:i w:val="0"/>
          <w:spacing w:val="0"/>
          <w:sz w:val="24"/>
        </w:rPr>
        <w:t>性能验证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>：新系统上线后进行为期1周的性能监控和压力测试</w:t>
      </w:r>
    </w:p>
    <w:p w14:paraId="6BEB8C53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七、供应商资质要求</w:t>
      </w:r>
    </w:p>
    <w:p w14:paraId="27F51ABF">
      <w:pPr>
        <w:pageBreakBefore w:val="0"/>
        <w:numPr>
          <w:ilvl w:val="0"/>
          <w:numId w:val="27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投标人需提供服务器原厂针对本项目的授权函</w:t>
      </w:r>
    </w:p>
    <w:p w14:paraId="41F2413D">
      <w:pPr>
        <w:pageBreakBefore w:val="0"/>
        <w:numPr>
          <w:ilvl w:val="0"/>
          <w:numId w:val="27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需具备原厂3年以上售后服务能力</w:t>
      </w:r>
    </w:p>
    <w:p w14:paraId="7745846D">
      <w:pPr>
        <w:pageBreakBefore w:val="0"/>
        <w:numPr>
          <w:ilvl w:val="0"/>
          <w:numId w:val="27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项目实施团队需具备</w:t>
      </w:r>
      <w:r>
        <w:rPr>
          <w:rFonts w:hint="eastAsia" w:ascii="宋体" w:hAnsi="宋体" w:eastAsia="宋体" w:cs="宋体"/>
          <w:b w:val="0"/>
          <w:i w:val="0"/>
          <w:spacing w:val="0"/>
          <w:sz w:val="24"/>
          <w:lang w:eastAsia="zh-CN"/>
        </w:rPr>
        <w:t>虚拟化平台</w:t>
      </w:r>
      <w:r>
        <w:rPr>
          <w:rFonts w:ascii="宋体" w:hAnsi="宋体" w:eastAsia="宋体" w:cs="宋体"/>
          <w:b w:val="0"/>
          <w:i w:val="0"/>
          <w:spacing w:val="0"/>
          <w:sz w:val="24"/>
        </w:rPr>
        <w:t xml:space="preserve"> VCP认证工程师</w:t>
      </w:r>
    </w:p>
    <w:p w14:paraId="3586F2AE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八、验收标准</w:t>
      </w:r>
    </w:p>
    <w:p w14:paraId="06B2E598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8.1 硬件验收</w:t>
      </w:r>
    </w:p>
    <w:p w14:paraId="11CE367C">
      <w:pPr>
        <w:pageBreakBefore w:val="0"/>
        <w:numPr>
          <w:ilvl w:val="0"/>
          <w:numId w:val="2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设备型号、配置与合同一致</w:t>
      </w:r>
    </w:p>
    <w:p w14:paraId="466DF97D">
      <w:pPr>
        <w:pageBreakBefore w:val="0"/>
        <w:numPr>
          <w:ilvl w:val="0"/>
          <w:numId w:val="2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所有硬件组件正常工作</w:t>
      </w:r>
    </w:p>
    <w:p w14:paraId="2A77E9FA">
      <w:pPr>
        <w:pageBreakBefore w:val="0"/>
        <w:numPr>
          <w:ilvl w:val="0"/>
          <w:numId w:val="28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性能测试达到标书要求</w:t>
      </w:r>
    </w:p>
    <w:p w14:paraId="3C68B7A3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8.2 软件验收</w:t>
      </w:r>
    </w:p>
    <w:p w14:paraId="216A55E7">
      <w:pPr>
        <w:pageBreakBefore w:val="0"/>
        <w:numPr>
          <w:ilvl w:val="0"/>
          <w:numId w:val="2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操作系统及应用软件正常运行</w:t>
      </w:r>
    </w:p>
    <w:p w14:paraId="7DB49118">
      <w:pPr>
        <w:pageBreakBefore w:val="0"/>
        <w:numPr>
          <w:ilvl w:val="0"/>
          <w:numId w:val="2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数据迁移完整无误</w:t>
      </w:r>
    </w:p>
    <w:p w14:paraId="22744D42">
      <w:pPr>
        <w:pageBreakBefore w:val="0"/>
        <w:numPr>
          <w:ilvl w:val="0"/>
          <w:numId w:val="29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虚拟化环境配置正确</w:t>
      </w:r>
    </w:p>
    <w:p w14:paraId="47FC7103">
      <w:pPr>
        <w:pageBreakBefore w:val="0"/>
        <w:wordWrap/>
        <w:spacing w:before="160" w:after="0"/>
        <w:ind w:left="0" w:right="0"/>
        <w:jc w:val="left"/>
        <w:textAlignment w:val="auto"/>
        <w:rPr>
          <w:sz w:val="28"/>
        </w:rPr>
      </w:pPr>
      <w:r>
        <w:rPr>
          <w:rFonts w:ascii="宋体" w:hAnsi="宋体" w:eastAsia="宋体" w:cs="宋体"/>
          <w:b/>
          <w:i w:val="0"/>
          <w:spacing w:val="0"/>
          <w:sz w:val="28"/>
        </w:rPr>
        <w:t>8.3 业务验收</w:t>
      </w:r>
    </w:p>
    <w:p w14:paraId="7C4CF550">
      <w:pPr>
        <w:pageBreakBefore w:val="0"/>
        <w:numPr>
          <w:ilvl w:val="0"/>
          <w:numId w:val="3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NHIS、集成平台系统业务功能正常</w:t>
      </w:r>
    </w:p>
    <w:p w14:paraId="1EA9D4A4">
      <w:pPr>
        <w:pageBreakBefore w:val="0"/>
        <w:numPr>
          <w:ilvl w:val="0"/>
          <w:numId w:val="3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体检系统、急诊系统虚拟机运行稳定</w:t>
      </w:r>
    </w:p>
    <w:p w14:paraId="29EDE8FB">
      <w:pPr>
        <w:pageBreakBefore w:val="0"/>
        <w:numPr>
          <w:ilvl w:val="0"/>
          <w:numId w:val="30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网络连接正常</w:t>
      </w:r>
    </w:p>
    <w:p w14:paraId="2D757118">
      <w:pPr>
        <w:pageBreakBefore w:val="0"/>
        <w:wordWrap/>
        <w:spacing w:before="160" w:after="0"/>
        <w:ind w:left="0" w:right="0"/>
        <w:jc w:val="left"/>
        <w:textAlignment w:val="auto"/>
        <w:rPr>
          <w:sz w:val="36"/>
        </w:rPr>
      </w:pPr>
      <w:r>
        <w:rPr>
          <w:rFonts w:ascii="宋体" w:hAnsi="宋体" w:eastAsia="宋体" w:cs="宋体"/>
          <w:b/>
          <w:i w:val="0"/>
          <w:spacing w:val="0"/>
          <w:sz w:val="36"/>
        </w:rPr>
        <w:t>九、文档交付要求</w:t>
      </w:r>
    </w:p>
    <w:p w14:paraId="36EBA01E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供应商需提供以下文档：</w:t>
      </w:r>
    </w:p>
    <w:p w14:paraId="2C20A3BE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设备配置清单及技术文档</w:t>
      </w:r>
    </w:p>
    <w:p w14:paraId="515744FC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数据迁移方案及实施记录</w:t>
      </w:r>
    </w:p>
    <w:p w14:paraId="36174F3B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系统测试报告</w:t>
      </w:r>
    </w:p>
    <w:p w14:paraId="3B627432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操作维护手册</w:t>
      </w:r>
    </w:p>
    <w:p w14:paraId="6E84EF3A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培训文档</w:t>
      </w:r>
    </w:p>
    <w:p w14:paraId="1CCEB7CA">
      <w:pPr>
        <w:pageBreakBefore w:val="0"/>
        <w:numPr>
          <w:ilvl w:val="0"/>
          <w:numId w:val="3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质保服务承诺书</w:t>
      </w:r>
    </w:p>
    <w:p w14:paraId="663FC921">
      <w:pPr>
        <w:jc w:val="left"/>
      </w:pPr>
    </w:p>
    <w:sectPr>
      <w:headerReference r:id="rId3" w:type="default"/>
      <w:footerReference r:id="rId4" w:type="default"/>
      <w:pgSz w:w="11900" w:h="15840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C2C75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DA41A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3A4B87"/>
    <w:multiLevelType w:val="multilevel"/>
    <w:tmpl w:val="813A4B87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">
    <w:nsid w:val="8461FADE"/>
    <w:multiLevelType w:val="multilevel"/>
    <w:tmpl w:val="8461FAD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">
    <w:nsid w:val="9239341B"/>
    <w:multiLevelType w:val="multilevel"/>
    <w:tmpl w:val="9239341B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3">
    <w:nsid w:val="9C8AC8EF"/>
    <w:multiLevelType w:val="multilevel"/>
    <w:tmpl w:val="9C8AC8EF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4">
    <w:nsid w:val="B0F1ACD9"/>
    <w:multiLevelType w:val="multilevel"/>
    <w:tmpl w:val="B0F1ACD9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5">
    <w:nsid w:val="B5E306ED"/>
    <w:multiLevelType w:val="multilevel"/>
    <w:tmpl w:val="B5E306ED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6">
    <w:nsid w:val="BF205925"/>
    <w:multiLevelType w:val="multilevel"/>
    <w:tmpl w:val="BF205925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7">
    <w:nsid w:val="C8879AEF"/>
    <w:multiLevelType w:val="multilevel"/>
    <w:tmpl w:val="C8879AEF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8">
    <w:nsid w:val="CF092B84"/>
    <w:multiLevelType w:val="multilevel"/>
    <w:tmpl w:val="CF092B84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9">
    <w:nsid w:val="D7F9FE59"/>
    <w:multiLevelType w:val="multilevel"/>
    <w:tmpl w:val="D7F9FE59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0">
    <w:nsid w:val="DCBA6B53"/>
    <w:multiLevelType w:val="multilevel"/>
    <w:tmpl w:val="DCBA6B53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1">
    <w:nsid w:val="F4B5D9F5"/>
    <w:multiLevelType w:val="multilevel"/>
    <w:tmpl w:val="F4B5D9F5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13">
    <w:nsid w:val="0248C179"/>
    <w:multiLevelType w:val="multilevel"/>
    <w:tmpl w:val="0248C179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4">
    <w:nsid w:val="03D62ECE"/>
    <w:multiLevelType w:val="multilevel"/>
    <w:tmpl w:val="03D62ECE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5">
    <w:nsid w:val="0E640482"/>
    <w:multiLevelType w:val="multilevel"/>
    <w:tmpl w:val="0E640482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6">
    <w:nsid w:val="243FCF68"/>
    <w:multiLevelType w:val="multilevel"/>
    <w:tmpl w:val="243FCF68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17">
    <w:nsid w:val="2470EC97"/>
    <w:multiLevelType w:val="multilevel"/>
    <w:tmpl w:val="2470EC97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8">
    <w:nsid w:val="25B654F3"/>
    <w:multiLevelType w:val="multilevel"/>
    <w:tmpl w:val="25B654F3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19">
    <w:nsid w:val="2A8F537B"/>
    <w:multiLevelType w:val="multilevel"/>
    <w:tmpl w:val="2A8F537B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0">
    <w:nsid w:val="39A0D9AC"/>
    <w:multiLevelType w:val="multilevel"/>
    <w:tmpl w:val="39A0D9AC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1">
    <w:nsid w:val="46A08BB8"/>
    <w:multiLevelType w:val="multilevel"/>
    <w:tmpl w:val="46A08BB8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2">
    <w:nsid w:val="4C1BAE26"/>
    <w:multiLevelType w:val="multilevel"/>
    <w:tmpl w:val="4C1BAE26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3">
    <w:nsid w:val="4D4DC07F"/>
    <w:multiLevelType w:val="multilevel"/>
    <w:tmpl w:val="4D4DC07F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4">
    <w:nsid w:val="58765686"/>
    <w:multiLevelType w:val="multilevel"/>
    <w:tmpl w:val="58765686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5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6">
    <w:nsid w:val="5A241D34"/>
    <w:multiLevelType w:val="multilevel"/>
    <w:tmpl w:val="5A241D34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7">
    <w:nsid w:val="60382F6E"/>
    <w:multiLevelType w:val="multilevel"/>
    <w:tmpl w:val="60382F6E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8">
    <w:nsid w:val="72183CF9"/>
    <w:multiLevelType w:val="multilevel"/>
    <w:tmpl w:val="72183CF9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29">
    <w:nsid w:val="7C246926"/>
    <w:multiLevelType w:val="multilevel"/>
    <w:tmpl w:val="7C246926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abstractNum w:abstractNumId="30">
    <w:nsid w:val="7DEC2089"/>
    <w:multiLevelType w:val="multilevel"/>
    <w:tmpl w:val="7DEC2089"/>
    <w:lvl w:ilvl="0" w:tentative="0">
      <w:start w:val="1"/>
      <w:numFmt w:val="bullet"/>
      <w:lvlText w:val="•"/>
      <w:lvlJc w:val="left"/>
      <w:pPr>
        <w:ind w:left="440" w:hanging="440"/>
      </w:pPr>
      <w:rPr>
        <w:rFonts w:hint="default" w:ascii="Arial Unicode MS" w:hAnsi="Arial Unicode MS"/>
      </w:rPr>
    </w:lvl>
    <w:lvl w:ilvl="1" w:tentative="0">
      <w:start w:val="1"/>
      <w:numFmt w:val="bullet"/>
      <w:lvlText w:val="◦"/>
      <w:lvlJc w:val="left"/>
      <w:pPr>
        <w:ind w:left="880" w:hanging="440"/>
      </w:pPr>
      <w:rPr>
        <w:rFonts w:hint="default" w:ascii="Arial Unicode MS" w:hAnsi="Arial Unicode MS"/>
      </w:rPr>
    </w:lvl>
    <w:lvl w:ilvl="2" w:tentative="0">
      <w:start w:val="1"/>
      <w:numFmt w:val="bullet"/>
      <w:lvlText w:val="▪"/>
      <w:lvlJc w:val="left"/>
      <w:pPr>
        <w:ind w:left="1320" w:hanging="440"/>
      </w:pPr>
      <w:rPr>
        <w:rFonts w:hint="default" w:ascii="Arial Unicode MS" w:hAnsi="Arial Unicode MS"/>
      </w:rPr>
    </w:lvl>
    <w:lvl w:ilvl="3" w:tentative="0">
      <w:start w:val="1"/>
      <w:numFmt w:val="bullet"/>
      <w:lvlText w:val="•"/>
      <w:lvlJc w:val="left"/>
      <w:pPr>
        <w:ind w:left="1760" w:hanging="440"/>
      </w:pPr>
      <w:rPr>
        <w:rFonts w:hint="default" w:ascii="Arial Unicode MS" w:hAnsi="Arial Unicode MS"/>
      </w:rPr>
    </w:lvl>
    <w:lvl w:ilvl="4" w:tentative="0">
      <w:start w:val="1"/>
      <w:numFmt w:val="bullet"/>
      <w:lvlText w:val="◦"/>
      <w:lvlJc w:val="left"/>
      <w:pPr>
        <w:ind w:left="2200" w:hanging="440"/>
      </w:pPr>
      <w:rPr>
        <w:rFonts w:hint="default" w:ascii="Arial Unicode MS" w:hAnsi="Arial Unicode MS"/>
      </w:rPr>
    </w:lvl>
    <w:lvl w:ilvl="5" w:tentative="0">
      <w:start w:val="1"/>
      <w:numFmt w:val="bullet"/>
      <w:lvlText w:val="▪"/>
      <w:lvlJc w:val="left"/>
      <w:pPr>
        <w:ind w:left="2640" w:hanging="440"/>
      </w:pPr>
      <w:rPr>
        <w:rFonts w:hint="default" w:ascii="Arial Unicode MS" w:hAnsi="Arial Unicode MS"/>
      </w:rPr>
    </w:lvl>
    <w:lvl w:ilvl="6" w:tentative="0">
      <w:start w:val="1"/>
      <w:numFmt w:val="bullet"/>
      <w:lvlText w:val="•"/>
      <w:lvlJc w:val="left"/>
      <w:pPr>
        <w:ind w:left="3080" w:hanging="440"/>
      </w:pPr>
      <w:rPr>
        <w:rFonts w:hint="default" w:ascii="Arial Unicode MS" w:hAnsi="Arial Unicode MS"/>
      </w:rPr>
    </w:lvl>
    <w:lvl w:ilvl="7" w:tentative="0">
      <w:start w:val="1"/>
      <w:numFmt w:val="bullet"/>
      <w:lvlText w:val="◦"/>
      <w:lvlJc w:val="left"/>
      <w:pPr>
        <w:ind w:left="3520" w:hanging="440"/>
      </w:pPr>
      <w:rPr>
        <w:rFonts w:hint="default" w:ascii="Arial Unicode MS" w:hAnsi="Arial Unicode MS"/>
      </w:rPr>
    </w:lvl>
    <w:lvl w:ilvl="8" w:tentative="0">
      <w:start w:val="1"/>
      <w:numFmt w:val="bullet"/>
      <w:lvlText w:val="▪"/>
      <w:lvlJc w:val="left"/>
      <w:pPr>
        <w:ind w:left="3960" w:hanging="440"/>
      </w:pPr>
      <w:rPr>
        <w:rFonts w:hint="default" w:ascii="Arial Unicode MS" w:hAnsi="Arial Unicode MS"/>
      </w:rPr>
    </w:lvl>
  </w:abstractNum>
  <w:num w:numId="1">
    <w:abstractNumId w:val="12"/>
  </w:num>
  <w:num w:numId="2">
    <w:abstractNumId w:val="8"/>
  </w:num>
  <w:num w:numId="3">
    <w:abstractNumId w:val="25"/>
  </w:num>
  <w:num w:numId="4">
    <w:abstractNumId w:val="6"/>
  </w:num>
  <w:num w:numId="5">
    <w:abstractNumId w:val="5"/>
  </w:num>
  <w:num w:numId="6">
    <w:abstractNumId w:val="14"/>
  </w:num>
  <w:num w:numId="7">
    <w:abstractNumId w:val="18"/>
  </w:num>
  <w:num w:numId="8">
    <w:abstractNumId w:val="28"/>
  </w:num>
  <w:num w:numId="9">
    <w:abstractNumId w:val="13"/>
  </w:num>
  <w:num w:numId="10">
    <w:abstractNumId w:val="2"/>
  </w:num>
  <w:num w:numId="11">
    <w:abstractNumId w:val="19"/>
  </w:num>
  <w:num w:numId="12">
    <w:abstractNumId w:val="26"/>
  </w:num>
  <w:num w:numId="13">
    <w:abstractNumId w:val="7"/>
  </w:num>
  <w:num w:numId="14">
    <w:abstractNumId w:val="23"/>
  </w:num>
  <w:num w:numId="15">
    <w:abstractNumId w:val="11"/>
  </w:num>
  <w:num w:numId="16">
    <w:abstractNumId w:val="17"/>
  </w:num>
  <w:num w:numId="17">
    <w:abstractNumId w:val="10"/>
  </w:num>
  <w:num w:numId="18">
    <w:abstractNumId w:val="9"/>
  </w:num>
  <w:num w:numId="19">
    <w:abstractNumId w:val="3"/>
  </w:num>
  <w:num w:numId="20">
    <w:abstractNumId w:val="22"/>
  </w:num>
  <w:num w:numId="21">
    <w:abstractNumId w:val="27"/>
  </w:num>
  <w:num w:numId="22">
    <w:abstractNumId w:val="15"/>
  </w:num>
  <w:num w:numId="23">
    <w:abstractNumId w:val="21"/>
  </w:num>
  <w:num w:numId="24">
    <w:abstractNumId w:val="4"/>
  </w:num>
  <w:num w:numId="25">
    <w:abstractNumId w:val="29"/>
  </w:num>
  <w:num w:numId="26">
    <w:abstractNumId w:val="20"/>
  </w:num>
  <w:num w:numId="27">
    <w:abstractNumId w:val="1"/>
  </w:num>
  <w:num w:numId="28">
    <w:abstractNumId w:val="24"/>
  </w:num>
  <w:num w:numId="29">
    <w:abstractNumId w:val="30"/>
  </w:num>
  <w:num w:numId="30">
    <w:abstractNumId w:val="0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0BE07D19"/>
    <w:rsid w:val="7EB666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2930</Words>
  <Characters>3861</Characters>
  <TotalTime>3</TotalTime>
  <ScaleCrop>false</ScaleCrop>
  <LinksUpToDate>false</LinksUpToDate>
  <CharactersWithSpaces>4019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2026-04-17T06:50:00Z</dcterms:created>
  <dc:creator>Apache POI</dc:creator>
  <cp:lastModifiedBy>chis</cp:lastModifiedBy>
  <dcterms:modified xsi:type="dcterms:W3CDTF">2026-06-10T06:26:06Z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XoOYMybgX4jB7iPu6rG1e7i8cDJrLdO/BLUpcGDS78w=","ProduceID":"doc_sgs:3012cedc-0825-438e-81f8-ab4f465e20d8","ReservedCode2":"XoOYMybgX4jB7iPu6rG1e7i8cDJrLdO/BLUpcGDS78w=","PropagateID":"doc_sgs:3012cedc-0825-438e-81f8-ab4f465e20d8","ContentProducer":"001191440101MA9Y9T4H7A00000"}</vt:lpwstr>
  </property>
  <property fmtid="{D5CDD505-2E9C-101B-9397-08002B2CF9AE}" pid="3" name="KSOTemplateDocerSaveRecord">
    <vt:lpwstr>eyJoZGlkIjoiODRjZWUyMjQ1NTZhOGM4MWY2NDVkOTg0NzMzYjc5ZWUiLCJ1c2VySWQiOiIzMTkxOTA1ODAifQ==</vt:lpwstr>
  </property>
  <property fmtid="{D5CDD505-2E9C-101B-9397-08002B2CF9AE}" pid="4" name="KSOProductBuildVer">
    <vt:lpwstr>2052-12.1.0.26895</vt:lpwstr>
  </property>
  <property fmtid="{D5CDD505-2E9C-101B-9397-08002B2CF9AE}" pid="5" name="ICV">
    <vt:lpwstr>184CD3A107534D43BA833D5FB8DF23CD_12</vt:lpwstr>
  </property>
</Properties>
</file>