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47D02">
      <w:pPr>
        <w:pStyle w:val="2"/>
        <w:pageBreakBefore w:val="0"/>
        <w:widowControl w:val="0"/>
        <w:kinsoku/>
        <w:wordWrap/>
        <w:overflowPunct/>
        <w:topLinePunct w:val="0"/>
        <w:autoSpaceDE/>
        <w:autoSpaceDN/>
        <w:bidi w:val="0"/>
        <w:adjustRightInd/>
        <w:spacing w:line="360" w:lineRule="auto"/>
        <w:ind w:leftChars="0" w:firstLine="602" w:firstLineChars="200"/>
        <w:textAlignment w:val="auto"/>
        <w:rPr>
          <w:rFonts w:hint="eastAsia" w:ascii="仿宋" w:hAnsi="仿宋" w:eastAsia="仿宋" w:cs="仿宋"/>
          <w:color w:val="auto"/>
        </w:rPr>
      </w:pPr>
      <w:bookmarkStart w:id="0" w:name="_Hlk124774284"/>
      <w:bookmarkStart w:id="1" w:name="_Hlk124775629"/>
      <w:r>
        <w:rPr>
          <w:rFonts w:hint="eastAsia" w:ascii="仿宋" w:hAnsi="仿宋" w:eastAsia="仿宋" w:cs="仿宋"/>
          <w:color w:val="auto"/>
        </w:rPr>
        <w:t>中山市人民医院</w:t>
      </w:r>
      <w:r>
        <w:rPr>
          <w:rFonts w:hint="eastAsia" w:ascii="仿宋" w:hAnsi="仿宋" w:eastAsia="仿宋" w:cs="仿宋"/>
          <w:color w:val="auto"/>
          <w:lang w:val="en-US" w:eastAsia="zh-CN"/>
        </w:rPr>
        <w:t>2026防病毒软件续期项目</w:t>
      </w:r>
    </w:p>
    <w:bookmarkEnd w:id="0"/>
    <w:p w14:paraId="704B27D2">
      <w:pPr>
        <w:pStyle w:val="2"/>
        <w:pageBreakBefore w:val="0"/>
        <w:widowControl w:val="0"/>
        <w:kinsoku/>
        <w:wordWrap/>
        <w:overflowPunct/>
        <w:topLinePunct w:val="0"/>
        <w:autoSpaceDE/>
        <w:autoSpaceDN/>
        <w:bidi w:val="0"/>
        <w:adjustRightInd/>
        <w:spacing w:line="360" w:lineRule="auto"/>
        <w:ind w:leftChars="0" w:firstLine="602" w:firstLineChars="200"/>
        <w:textAlignment w:val="auto"/>
        <w:rPr>
          <w:rFonts w:hint="eastAsia" w:ascii="仿宋" w:hAnsi="仿宋" w:eastAsia="仿宋" w:cs="仿宋"/>
          <w:color w:val="auto"/>
        </w:rPr>
      </w:pPr>
      <w:r>
        <w:rPr>
          <w:rFonts w:hint="eastAsia" w:ascii="仿宋" w:hAnsi="仿宋" w:eastAsia="仿宋" w:cs="仿宋"/>
          <w:color w:val="auto"/>
        </w:rPr>
        <w:t>用户需求书</w:t>
      </w:r>
    </w:p>
    <w:p w14:paraId="06DF893B">
      <w:pPr>
        <w:pageBreakBefore w:val="0"/>
        <w:widowControl w:val="0"/>
        <w:kinsoku/>
        <w:wordWrap/>
        <w:overflowPunct/>
        <w:topLinePunct w:val="0"/>
        <w:autoSpaceDE/>
        <w:autoSpaceDN/>
        <w:bidi w:val="0"/>
        <w:adjustRightInd/>
        <w:spacing w:line="360" w:lineRule="auto"/>
        <w:ind w:leftChars="0" w:firstLine="420" w:firstLineChars="200"/>
        <w:textAlignment w:val="auto"/>
        <w:rPr>
          <w:rFonts w:hint="eastAsia" w:ascii="仿宋" w:hAnsi="仿宋" w:eastAsia="仿宋" w:cs="仿宋"/>
          <w:lang w:eastAsia="zh-CN"/>
        </w:rPr>
      </w:pPr>
    </w:p>
    <w:p w14:paraId="6506B4CB">
      <w:pPr>
        <w:pageBreakBefore w:val="0"/>
        <w:numPr>
          <w:ilvl w:val="0"/>
          <w:numId w:val="0"/>
        </w:numPr>
        <w:kinsoku/>
        <w:wordWrap/>
        <w:overflowPunct/>
        <w:topLinePunct w:val="0"/>
        <w:autoSpaceDE/>
        <w:autoSpaceDN/>
        <w:bidi w:val="0"/>
        <w:adjustRightInd/>
        <w:spacing w:line="360" w:lineRule="auto"/>
        <w:textAlignment w:val="auto"/>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val="en-US" w:eastAsia="zh-CN"/>
        </w:rPr>
        <w:t>一、项目基本信息</w:t>
      </w:r>
    </w:p>
    <w:p w14:paraId="56AAC882">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1、项目名称：中山市人民医院2026</w:t>
      </w:r>
      <w:r>
        <w:rPr>
          <w:rFonts w:hint="eastAsia" w:ascii="仿宋" w:hAnsi="仿宋" w:eastAsia="仿宋" w:cs="仿宋"/>
          <w:color w:val="auto"/>
          <w:sz w:val="24"/>
          <w:szCs w:val="22"/>
          <w:lang w:val="en-US" w:eastAsia="zh-CN"/>
        </w:rPr>
        <w:t>防病毒软件续期项目</w:t>
      </w:r>
      <w:r>
        <w:rPr>
          <w:rFonts w:hint="eastAsia" w:ascii="仿宋" w:hAnsi="仿宋" w:eastAsia="仿宋" w:cs="仿宋"/>
          <w:sz w:val="24"/>
          <w:szCs w:val="22"/>
          <w:lang w:eastAsia="zh-CN"/>
        </w:rPr>
        <w:t>。</w:t>
      </w:r>
    </w:p>
    <w:p w14:paraId="75598FBE">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2、项目服务期限：三年。具体时间以合同签订时间为准。</w:t>
      </w:r>
    </w:p>
    <w:p w14:paraId="605F80E8">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3、</w:t>
      </w:r>
      <w:r>
        <w:rPr>
          <w:rFonts w:hint="eastAsia" w:ascii="仿宋" w:hAnsi="仿宋" w:eastAsia="仿宋" w:cs="仿宋"/>
          <w:sz w:val="24"/>
          <w:szCs w:val="22"/>
          <w:lang w:val="en-US" w:eastAsia="zh-CN"/>
        </w:rPr>
        <w:t>项目</w:t>
      </w:r>
      <w:r>
        <w:rPr>
          <w:rFonts w:hint="eastAsia" w:ascii="仿宋" w:hAnsi="仿宋" w:eastAsia="仿宋" w:cs="仿宋"/>
          <w:sz w:val="24"/>
          <w:szCs w:val="22"/>
          <w:lang w:eastAsia="zh-CN"/>
        </w:rPr>
        <w:t>内容：</w:t>
      </w:r>
      <w:r>
        <w:rPr>
          <w:rFonts w:hint="eastAsia" w:ascii="仿宋" w:hAnsi="仿宋" w:eastAsia="仿宋" w:cs="仿宋"/>
          <w:kern w:val="0"/>
          <w:sz w:val="24"/>
          <w:szCs w:val="22"/>
          <w:lang w:val="en-US" w:eastAsia="zh-CN" w:bidi="ar-SA"/>
        </w:rPr>
        <w:t>4000个终端端点、虚拟化防病毒软件授权和相关服务</w:t>
      </w:r>
      <w:r>
        <w:rPr>
          <w:rFonts w:hint="eastAsia" w:ascii="仿宋" w:hAnsi="仿宋" w:eastAsia="仿宋" w:cs="仿宋"/>
          <w:sz w:val="24"/>
          <w:szCs w:val="22"/>
          <w:lang w:eastAsia="zh-CN"/>
        </w:rPr>
        <w:t>。</w:t>
      </w:r>
    </w:p>
    <w:p w14:paraId="0157CF9E">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4、预算金额：人民币</w:t>
      </w:r>
      <w:r>
        <w:rPr>
          <w:rFonts w:hint="eastAsia" w:ascii="仿宋" w:hAnsi="仿宋" w:eastAsia="仿宋" w:cs="仿宋"/>
          <w:sz w:val="24"/>
          <w:szCs w:val="22"/>
          <w:lang w:val="en-US" w:eastAsia="zh-CN"/>
        </w:rPr>
        <w:t>50</w:t>
      </w:r>
      <w:r>
        <w:rPr>
          <w:rFonts w:hint="eastAsia" w:ascii="仿宋" w:hAnsi="仿宋" w:eastAsia="仿宋" w:cs="仿宋"/>
          <w:sz w:val="24"/>
          <w:szCs w:val="22"/>
          <w:lang w:eastAsia="zh-CN"/>
        </w:rPr>
        <w:t>万元。</w:t>
      </w:r>
      <w:bookmarkStart w:id="2" w:name="_GoBack"/>
      <w:bookmarkEnd w:id="2"/>
    </w:p>
    <w:p w14:paraId="739B6EF2">
      <w:pPr>
        <w:pageBreakBefore w:val="0"/>
        <w:widowControl w:val="0"/>
        <w:numPr>
          <w:ilvl w:val="0"/>
          <w:numId w:val="0"/>
        </w:numPr>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val="en-US" w:eastAsia="zh-CN"/>
        </w:rPr>
      </w:pPr>
    </w:p>
    <w:p w14:paraId="533D97FB">
      <w:pPr>
        <w:pageBreakBefore w:val="0"/>
        <w:numPr>
          <w:ilvl w:val="0"/>
          <w:numId w:val="0"/>
        </w:numPr>
        <w:kinsoku/>
        <w:wordWrap/>
        <w:overflowPunct/>
        <w:topLinePunct w:val="0"/>
        <w:autoSpaceDE/>
        <w:autoSpaceDN/>
        <w:bidi w:val="0"/>
        <w:adjustRightInd/>
        <w:spacing w:line="360" w:lineRule="auto"/>
        <w:textAlignment w:val="auto"/>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val="en-US" w:eastAsia="zh-CN"/>
        </w:rPr>
        <w:t>二、建设背景</w:t>
      </w:r>
    </w:p>
    <w:p w14:paraId="2A092E8D">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1、单位简介</w:t>
      </w:r>
    </w:p>
    <w:p w14:paraId="07A8CAB6">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中山市人民医院位于中山市中心城区，坐落在莲峰山麓，是集医疗、教学、科研、预防保健为一体的综合性“三级甲等医院”，是广东省全科医师规范化培训基地和医学教育基地和广东医学院的临床学院。先后荣膺“爱婴医院”、“广东省高等医学院校教学医院”、“百家文明医院”、“广东省信息化示范单位”、“卫生部数字化医院试点示范单位”、“全国医药卫生系统先进集体”、“全国构建和谐关系示范医院”等光荣称号。</w:t>
      </w:r>
    </w:p>
    <w:p w14:paraId="5D4E181C">
      <w:pPr>
        <w:pStyle w:val="32"/>
        <w:pageBreakBefore w:val="0"/>
        <w:numPr>
          <w:ilvl w:val="0"/>
          <w:numId w:val="1"/>
        </w:numPr>
        <w:kinsoku/>
        <w:wordWrap/>
        <w:overflowPunct/>
        <w:topLinePunct w:val="0"/>
        <w:autoSpaceDE/>
        <w:autoSpaceDN/>
        <w:bidi w:val="0"/>
        <w:adjustRightInd/>
        <w:spacing w:line="360" w:lineRule="auto"/>
        <w:ind w:leftChars="0" w:firstLine="480" w:firstLineChars="200"/>
        <w:textAlignment w:val="auto"/>
        <w:rPr>
          <w:rFonts w:hint="eastAsia" w:ascii="仿宋" w:hAnsi="仿宋" w:eastAsia="仿宋" w:cs="仿宋"/>
          <w:b w:val="0"/>
          <w:bCs w:val="0"/>
          <w:color w:val="auto"/>
          <w:sz w:val="24"/>
          <w:szCs w:val="32"/>
        </w:rPr>
      </w:pPr>
      <w:r>
        <w:rPr>
          <w:rFonts w:hint="eastAsia" w:ascii="仿宋" w:hAnsi="仿宋" w:eastAsia="仿宋" w:cs="仿宋"/>
          <w:b w:val="0"/>
          <w:bCs w:val="0"/>
          <w:color w:val="auto"/>
          <w:sz w:val="24"/>
          <w:szCs w:val="32"/>
        </w:rPr>
        <w:t>现状情况</w:t>
      </w:r>
    </w:p>
    <w:p w14:paraId="1725B685">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随着医院信息化的快速发展，虚拟化技术、终端设备在医院IT基础设施中的应用日益广泛，既提升了资源利用率、简化了管理流程，也让终端及虚拟化环境的安全问题日益突出。医疗数据高度敏感，确保4000个终端及虚拟化环境的双重安全至关重要。</w:t>
      </w:r>
    </w:p>
    <w:p w14:paraId="55B43528">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b w:val="0"/>
          <w:bCs w:val="0"/>
          <w:color w:val="auto"/>
          <w:sz w:val="24"/>
          <w:szCs w:val="22"/>
        </w:rPr>
      </w:pPr>
      <w:r>
        <w:rPr>
          <w:rFonts w:hint="eastAsia" w:ascii="仿宋" w:hAnsi="仿宋" w:eastAsia="仿宋" w:cs="仿宋"/>
          <w:sz w:val="24"/>
          <w:szCs w:val="22"/>
          <w:lang w:eastAsia="zh-CN"/>
        </w:rPr>
        <w:t>目前，医院现有终端防病毒产品、虚拟化安全产品防护需求亟待升级延续，为避免安全防护断层引发的风险，需完成4000个终端防病毒维保、虚拟化平台防病毒安全3年</w:t>
      </w:r>
      <w:r>
        <w:rPr>
          <w:rFonts w:hint="eastAsia" w:ascii="仿宋" w:hAnsi="仿宋" w:eastAsia="仿宋" w:cs="仿宋"/>
          <w:sz w:val="24"/>
          <w:szCs w:val="22"/>
          <w:lang w:val="en-US" w:eastAsia="zh-CN"/>
        </w:rPr>
        <w:t>运维</w:t>
      </w:r>
      <w:r>
        <w:rPr>
          <w:rFonts w:hint="eastAsia" w:ascii="仿宋" w:hAnsi="仿宋" w:eastAsia="仿宋" w:cs="仿宋"/>
          <w:sz w:val="24"/>
          <w:szCs w:val="22"/>
          <w:lang w:eastAsia="zh-CN"/>
        </w:rPr>
        <w:t>服务的部署与续期。</w:t>
      </w:r>
    </w:p>
    <w:p w14:paraId="6F1BF547">
      <w:pPr>
        <w:pStyle w:val="32"/>
        <w:pageBreakBefore w:val="0"/>
        <w:kinsoku/>
        <w:wordWrap/>
        <w:overflowPunct/>
        <w:topLinePunct w:val="0"/>
        <w:autoSpaceDE/>
        <w:autoSpaceDN/>
        <w:bidi w:val="0"/>
        <w:adjustRightInd/>
        <w:spacing w:line="360" w:lineRule="auto"/>
        <w:ind w:leftChars="0" w:firstLine="480" w:firstLineChars="200"/>
        <w:textAlignment w:val="auto"/>
        <w:rPr>
          <w:rFonts w:hint="eastAsia" w:ascii="仿宋" w:hAnsi="仿宋" w:eastAsia="仿宋" w:cs="仿宋"/>
          <w:b w:val="0"/>
          <w:bCs w:val="0"/>
          <w:color w:val="auto"/>
          <w:sz w:val="24"/>
          <w:szCs w:val="32"/>
        </w:rPr>
      </w:pPr>
      <w:r>
        <w:rPr>
          <w:rFonts w:hint="eastAsia" w:ascii="仿宋" w:hAnsi="仿宋" w:eastAsia="仿宋" w:cs="仿宋"/>
          <w:b w:val="0"/>
          <w:bCs w:val="0"/>
          <w:color w:val="auto"/>
          <w:sz w:val="24"/>
          <w:szCs w:val="32"/>
        </w:rPr>
        <w:t>3、建设目标</w:t>
      </w:r>
    </w:p>
    <w:p w14:paraId="00F87036">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eastAsia="zh-CN"/>
        </w:rPr>
      </w:pPr>
      <w:r>
        <w:rPr>
          <w:rFonts w:hint="eastAsia" w:ascii="仿宋" w:hAnsi="仿宋" w:eastAsia="仿宋" w:cs="仿宋"/>
          <w:sz w:val="24"/>
          <w:szCs w:val="22"/>
          <w:lang w:eastAsia="zh-CN"/>
        </w:rPr>
        <w:t>完成4000个终端防病毒维保服务部署，续期现有虚拟化安全</w:t>
      </w:r>
      <w:r>
        <w:rPr>
          <w:rFonts w:hint="eastAsia" w:ascii="仿宋" w:hAnsi="仿宋" w:eastAsia="仿宋" w:cs="仿宋"/>
          <w:sz w:val="24"/>
          <w:szCs w:val="22"/>
          <w:lang w:val="en-US" w:eastAsia="zh-CN"/>
        </w:rPr>
        <w:t>运维服务</w:t>
      </w:r>
      <w:r>
        <w:rPr>
          <w:rFonts w:hint="eastAsia" w:ascii="仿宋" w:hAnsi="仿宋" w:eastAsia="仿宋" w:cs="仿宋"/>
          <w:sz w:val="24"/>
          <w:szCs w:val="22"/>
          <w:lang w:eastAsia="zh-CN"/>
        </w:rPr>
        <w:t>，确保终端、虚拟化环境安全防护不间断。 双重保障数据安全：确保患者数据、医疗记录等敏感信息在终端设备、虚拟化环境中的存储、传输安全。 满足合规性要求：符合国家和行业对医疗数据安全的相关法规、标准，覆盖终端与虚拟化全场景。</w:t>
      </w:r>
    </w:p>
    <w:p w14:paraId="7BCCAFFA">
      <w:pPr>
        <w:pageBreakBefore w:val="0"/>
        <w:widowControl w:val="0"/>
        <w:numPr>
          <w:ilvl w:val="0"/>
          <w:numId w:val="0"/>
        </w:numPr>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eastAsia="zh-CN"/>
        </w:rPr>
      </w:pPr>
    </w:p>
    <w:p w14:paraId="57419B9B">
      <w:pPr>
        <w:pageBreakBefore w:val="0"/>
        <w:numPr>
          <w:numId w:val="0"/>
        </w:numPr>
        <w:kinsoku/>
        <w:wordWrap/>
        <w:overflowPunct/>
        <w:topLinePunct w:val="0"/>
        <w:autoSpaceDE/>
        <w:autoSpaceDN/>
        <w:bidi w:val="0"/>
        <w:adjustRightInd/>
        <w:spacing w:line="360" w:lineRule="auto"/>
        <w:textAlignment w:val="auto"/>
        <w:rPr>
          <w:rFonts w:hint="eastAsia" w:ascii="仿宋" w:hAnsi="仿宋" w:eastAsia="仿宋" w:cs="仿宋"/>
          <w:b/>
          <w:color w:val="auto"/>
          <w:sz w:val="30"/>
          <w:szCs w:val="30"/>
          <w:lang w:val="en-US" w:eastAsia="zh-CN"/>
        </w:rPr>
      </w:pPr>
      <w:r>
        <w:rPr>
          <w:rFonts w:hint="eastAsia" w:ascii="仿宋" w:hAnsi="仿宋" w:eastAsia="仿宋" w:cs="仿宋"/>
          <w:b/>
          <w:color w:val="auto"/>
          <w:sz w:val="30"/>
          <w:szCs w:val="30"/>
          <w:lang w:val="en-US" w:eastAsia="zh-CN"/>
        </w:rPr>
        <w:t>三、项目建设内容</w:t>
      </w:r>
    </w:p>
    <w:p w14:paraId="3EFFFE41">
      <w:pPr>
        <w:pageBreakBefore w:val="0"/>
        <w:numPr>
          <w:numId w:val="0"/>
        </w:numPr>
        <w:kinsoku/>
        <w:wordWrap/>
        <w:overflowPunct/>
        <w:topLinePunct w:val="0"/>
        <w:autoSpaceDE/>
        <w:autoSpaceDN/>
        <w:bidi w:val="0"/>
        <w:adjustRightInd/>
        <w:spacing w:line="360" w:lineRule="auto"/>
        <w:ind w:leftChars="0" w:firstLine="562" w:firstLineChars="200"/>
        <w:textAlignment w:val="auto"/>
        <w:rPr>
          <w:rFonts w:hint="eastAsia" w:ascii="仿宋" w:hAnsi="仿宋" w:eastAsia="仿宋" w:cs="仿宋"/>
          <w:sz w:val="28"/>
          <w:szCs w:val="28"/>
        </w:rPr>
      </w:pPr>
      <w:r>
        <w:rPr>
          <w:rFonts w:hint="eastAsia" w:ascii="仿宋" w:hAnsi="仿宋" w:eastAsia="仿宋" w:cs="仿宋"/>
          <w:b/>
          <w:color w:val="auto"/>
          <w:sz w:val="28"/>
          <w:szCs w:val="28"/>
          <w:lang w:val="en-US" w:eastAsia="zh-CN"/>
        </w:rPr>
        <w:t>1.功能需求</w:t>
      </w:r>
    </w:p>
    <w:p w14:paraId="61DA7491">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1</w:t>
      </w:r>
      <w:r>
        <w:rPr>
          <w:rFonts w:hint="eastAsia" w:ascii="仿宋" w:hAnsi="仿宋" w:eastAsia="仿宋" w:cs="仿宋"/>
          <w:sz w:val="24"/>
          <w:szCs w:val="22"/>
          <w:lang w:eastAsia="zh-CN"/>
        </w:rPr>
        <w:t>）</w:t>
      </w:r>
      <w:r>
        <w:rPr>
          <w:rFonts w:hint="eastAsia" w:ascii="仿宋" w:hAnsi="仿宋" w:eastAsia="仿宋" w:cs="仿宋"/>
          <w:sz w:val="24"/>
          <w:szCs w:val="22"/>
        </w:rPr>
        <w:t>平台与终端兼容性</w:t>
      </w:r>
    </w:p>
    <w:p w14:paraId="59F6412F">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val="en-US" w:eastAsia="zh-CN"/>
        </w:rPr>
        <w:t>①</w:t>
      </w:r>
      <w:r>
        <w:rPr>
          <w:rFonts w:hint="eastAsia" w:ascii="仿宋" w:hAnsi="仿宋" w:eastAsia="仿宋" w:cs="仿宋"/>
          <w:sz w:val="24"/>
          <w:szCs w:val="22"/>
        </w:rPr>
        <w:t>虚拟化平台：支持VMware vSphere、Microsoft Hyper-V、Citrix XenServer等主流虚拟化平台。</w:t>
      </w:r>
    </w:p>
    <w:p w14:paraId="479F935D">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②终端设备：支持Windows、Linux等主流操作系统，兼容医院现有4000个办公、医疗业务终端，无软硬件适配冲突。</w:t>
      </w:r>
    </w:p>
    <w:p w14:paraId="683729AA">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2</w:t>
      </w:r>
      <w:r>
        <w:rPr>
          <w:rFonts w:hint="eastAsia" w:ascii="仿宋" w:hAnsi="仿宋" w:eastAsia="仿宋" w:cs="仿宋"/>
          <w:sz w:val="24"/>
          <w:szCs w:val="22"/>
          <w:lang w:eastAsia="zh-CN"/>
        </w:rPr>
        <w:t>）</w:t>
      </w:r>
      <w:r>
        <w:rPr>
          <w:rFonts w:hint="eastAsia" w:ascii="仿宋" w:hAnsi="仿宋" w:eastAsia="仿宋" w:cs="仿宋"/>
          <w:sz w:val="24"/>
          <w:szCs w:val="22"/>
        </w:rPr>
        <w:t>安全防护能力</w:t>
      </w:r>
    </w:p>
    <w:p w14:paraId="5EE739C0">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①通用防护（终端+虚拟化）</w:t>
      </w:r>
    </w:p>
    <w:p w14:paraId="5E491506">
      <w:pPr>
        <w:pageBreakBefore w:val="0"/>
        <w:widowControl w:val="0"/>
        <w:numPr>
          <w:ilvl w:val="0"/>
          <w:numId w:val="2"/>
        </w:numPr>
        <w:kinsoku/>
        <w:wordWrap/>
        <w:overflowPunct/>
        <w:topLinePunct w:val="0"/>
        <w:autoSpaceDE/>
        <w:autoSpaceDN/>
        <w:bidi w:val="0"/>
        <w:adjustRightInd/>
        <w:snapToGrid w:val="0"/>
        <w:spacing w:line="360" w:lineRule="auto"/>
        <w:ind w:left="840" w:leftChars="0" w:hanging="420" w:firstLineChars="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恶意代码防护：实时检测终端、虚拟机内恶意软件、勒索软件、挖矿程序等威胁，支持离线病毒库更新，病毒库更新覆盖所有终端及虚拟化节点。</w:t>
      </w:r>
    </w:p>
    <w:p w14:paraId="0DD1B9C5">
      <w:pPr>
        <w:pageBreakBefore w:val="0"/>
        <w:widowControl w:val="0"/>
        <w:numPr>
          <w:ilvl w:val="0"/>
          <w:numId w:val="2"/>
        </w:numPr>
        <w:kinsoku/>
        <w:wordWrap/>
        <w:overflowPunct/>
        <w:topLinePunct w:val="0"/>
        <w:autoSpaceDE/>
        <w:autoSpaceDN/>
        <w:bidi w:val="0"/>
        <w:adjustRightInd/>
        <w:snapToGrid w:val="0"/>
        <w:spacing w:line="360" w:lineRule="auto"/>
        <w:ind w:left="840" w:leftChars="0" w:hanging="420" w:firstLineChars="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漏洞管理：自动扫描终端系统漏洞、虚拟机镜像漏洞，分级推送修复建议，支持策略联动阻断高危漏洞利用行为。</w:t>
      </w:r>
    </w:p>
    <w:p w14:paraId="6800FF62">
      <w:pPr>
        <w:pageBreakBefore w:val="0"/>
        <w:widowControl w:val="0"/>
        <w:numPr>
          <w:ilvl w:val="0"/>
          <w:numId w:val="2"/>
        </w:numPr>
        <w:kinsoku/>
        <w:wordWrap/>
        <w:overflowPunct/>
        <w:topLinePunct w:val="0"/>
        <w:autoSpaceDE/>
        <w:autoSpaceDN/>
        <w:bidi w:val="0"/>
        <w:adjustRightInd/>
        <w:snapToGrid w:val="0"/>
        <w:spacing w:line="360" w:lineRule="auto"/>
        <w:ind w:left="840" w:leftChars="0" w:hanging="420" w:firstLineChars="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网络攻击防护：具备主机入侵防御功能，同时防御终端侧网络攻击、虚拟化层的横向渗透，实现跨场景网络安全防护。</w:t>
      </w:r>
    </w:p>
    <w:p w14:paraId="0621256F">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②终端专属防护</w:t>
      </w:r>
    </w:p>
    <w:p w14:paraId="466BB2B1">
      <w:pPr>
        <w:pageBreakBefore w:val="0"/>
        <w:widowControl w:val="0"/>
        <w:numPr>
          <w:ilvl w:val="0"/>
          <w:numId w:val="2"/>
        </w:numPr>
        <w:kinsoku/>
        <w:wordWrap/>
        <w:overflowPunct/>
        <w:topLinePunct w:val="0"/>
        <w:autoSpaceDE/>
        <w:autoSpaceDN/>
        <w:bidi w:val="0"/>
        <w:adjustRightInd/>
        <w:snapToGrid w:val="0"/>
        <w:spacing w:line="360" w:lineRule="auto"/>
        <w:ind w:left="840" w:leftChars="0" w:hanging="420" w:firstLineChars="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支持终端接入控制，限制非授权终端接入医院内网，保护内网数据安全。</w:t>
      </w:r>
    </w:p>
    <w:p w14:paraId="12009AFA">
      <w:pPr>
        <w:pageBreakBefore w:val="0"/>
        <w:widowControl w:val="0"/>
        <w:numPr>
          <w:ilvl w:val="0"/>
          <w:numId w:val="2"/>
        </w:numPr>
        <w:kinsoku/>
        <w:wordWrap/>
        <w:overflowPunct/>
        <w:topLinePunct w:val="0"/>
        <w:autoSpaceDE/>
        <w:autoSpaceDN/>
        <w:bidi w:val="0"/>
        <w:adjustRightInd/>
        <w:snapToGrid w:val="0"/>
        <w:spacing w:line="360" w:lineRule="auto"/>
        <w:ind w:left="840" w:leftChars="0" w:hanging="420" w:firstLineChars="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具备终端数据防泄漏基础能力，防止敏感医疗数据从终端非法拷贝、外传。</w:t>
      </w:r>
    </w:p>
    <w:p w14:paraId="14048465">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3</w:t>
      </w:r>
      <w:r>
        <w:rPr>
          <w:rFonts w:hint="eastAsia" w:ascii="仿宋" w:hAnsi="仿宋" w:eastAsia="仿宋" w:cs="仿宋"/>
          <w:sz w:val="24"/>
          <w:szCs w:val="22"/>
          <w:lang w:eastAsia="zh-CN"/>
        </w:rPr>
        <w:t>）</w:t>
      </w:r>
      <w:r>
        <w:rPr>
          <w:rFonts w:hint="eastAsia" w:ascii="仿宋" w:hAnsi="仿宋" w:eastAsia="仿宋" w:cs="仿宋"/>
          <w:sz w:val="24"/>
          <w:szCs w:val="22"/>
        </w:rPr>
        <w:t>性能优化要求</w:t>
      </w:r>
    </w:p>
    <w:p w14:paraId="13E8A48B">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①虚拟化侧：采用轻量级或无代理（Agentless）部署模式，CPU/内存占用率低于5%；支持安全防护策略的分布式计算，避免单点性能瓶颈。</w:t>
      </w:r>
    </w:p>
    <w:p w14:paraId="000A5573">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②终端侧：终端防病毒客户端轻量化部署，不影响医疗业务系统、办公软件的正常运行，终端资源占用率控制在合理范围。</w:t>
      </w:r>
    </w:p>
    <w:p w14:paraId="3D6AD9F0">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4</w:t>
      </w:r>
      <w:r>
        <w:rPr>
          <w:rFonts w:hint="eastAsia" w:ascii="仿宋" w:hAnsi="仿宋" w:eastAsia="仿宋" w:cs="仿宋"/>
          <w:sz w:val="24"/>
          <w:szCs w:val="22"/>
          <w:lang w:eastAsia="zh-CN"/>
        </w:rPr>
        <w:t>）</w:t>
      </w:r>
      <w:r>
        <w:rPr>
          <w:rFonts w:hint="eastAsia" w:ascii="仿宋" w:hAnsi="仿宋" w:eastAsia="仿宋" w:cs="仿宋"/>
          <w:sz w:val="24"/>
          <w:szCs w:val="22"/>
        </w:rPr>
        <w:t>集中化管理</w:t>
      </w:r>
    </w:p>
    <w:p w14:paraId="0F39A0D0">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①提供统一控制台，一体化管理4000个终端、所有虚拟机的安全策略配置、日志采集、告警推送与处置。</w:t>
      </w:r>
    </w:p>
    <w:p w14:paraId="05F0A61C">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②支持与医院现有的终端安全统一管控平台无缝对接，实现安全管理数据互通。</w:t>
      </w:r>
    </w:p>
    <w:p w14:paraId="071D3AE0">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5</w:t>
      </w:r>
      <w:r>
        <w:rPr>
          <w:rFonts w:hint="eastAsia" w:ascii="仿宋" w:hAnsi="仿宋" w:eastAsia="仿宋" w:cs="仿宋"/>
          <w:sz w:val="24"/>
          <w:szCs w:val="22"/>
          <w:lang w:eastAsia="zh-CN"/>
        </w:rPr>
        <w:t>）</w:t>
      </w:r>
      <w:r>
        <w:rPr>
          <w:rFonts w:hint="eastAsia" w:ascii="仿宋" w:hAnsi="仿宋" w:eastAsia="仿宋" w:cs="仿宋"/>
          <w:sz w:val="24"/>
          <w:szCs w:val="22"/>
        </w:rPr>
        <w:t>高可用性</w:t>
      </w:r>
    </w:p>
    <w:p w14:paraId="63CC1C47">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①虚拟化侧：支持虚拟化集群环境下的HA容灾机制，防护服务故障时自动切换，防护不中断。</w:t>
      </w:r>
    </w:p>
    <w:p w14:paraId="5212859C">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②终端侧：支持终端防病毒服务异常自动重启，病毒库更新断点续传，确保4000个终端防护全覆盖、无死角。</w:t>
      </w:r>
    </w:p>
    <w:p w14:paraId="4FCD0AA7">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6</w:t>
      </w:r>
      <w:r>
        <w:rPr>
          <w:rFonts w:hint="eastAsia" w:ascii="仿宋" w:hAnsi="仿宋" w:eastAsia="仿宋" w:cs="仿宋"/>
          <w:sz w:val="24"/>
          <w:szCs w:val="22"/>
          <w:lang w:eastAsia="zh-CN"/>
        </w:rPr>
        <w:t>）</w:t>
      </w:r>
      <w:r>
        <w:rPr>
          <w:rFonts w:hint="eastAsia" w:ascii="仿宋" w:hAnsi="仿宋" w:eastAsia="仿宋" w:cs="仿宋"/>
          <w:sz w:val="24"/>
          <w:szCs w:val="22"/>
        </w:rPr>
        <w:t>授权覆盖范围</w:t>
      </w:r>
    </w:p>
    <w:p w14:paraId="6CC28E48">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rPr>
        <w:t xml:space="preserve"> </w:t>
      </w:r>
      <w:r>
        <w:rPr>
          <w:rFonts w:hint="eastAsia" w:ascii="仿宋" w:hAnsi="仿宋" w:eastAsia="仿宋" w:cs="仿宋"/>
          <w:sz w:val="24"/>
          <w:szCs w:val="22"/>
          <w:lang w:val="en-US" w:eastAsia="zh-CN"/>
        </w:rPr>
        <w:t>①终端授权：覆盖医院指定的4000个终端全量防病毒安全防护，授权期限内支持终端正常更换、新增（不超4000个）无需额外授权。</w:t>
      </w:r>
    </w:p>
    <w:p w14:paraId="0A534DFA">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②虚拟化授权：覆盖虚拟化平台中所有虚拟机（VM）的安全防护，无虚拟机数量限制；支持跨集群、跨数据中心的统一管理，无需额外授权。</w:t>
      </w:r>
    </w:p>
    <w:p w14:paraId="531EB53F">
      <w:pPr>
        <w:pageBreakBefore w:val="0"/>
        <w:widowControl w:val="0"/>
        <w:numPr>
          <w:ilvl w:val="0"/>
          <w:numId w:val="0"/>
        </w:numPr>
        <w:kinsoku/>
        <w:wordWrap/>
        <w:overflowPunct/>
        <w:topLinePunct w:val="0"/>
        <w:autoSpaceDE/>
        <w:autoSpaceDN/>
        <w:bidi w:val="0"/>
        <w:adjustRightInd/>
        <w:snapToGrid w:val="0"/>
        <w:spacing w:line="360" w:lineRule="auto"/>
        <w:ind w:left="420"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 xml:space="preserve"> ③整体授权服务期限：虚拟化平台防病毒安全服务3年，4000个终端防病毒维保服务与虚拟化服务周期一致。</w:t>
      </w:r>
    </w:p>
    <w:p w14:paraId="0B08154F">
      <w:pPr>
        <w:pageBreakBefore w:val="0"/>
        <w:widowControl w:val="0"/>
        <w:kinsoku/>
        <w:wordWrap/>
        <w:overflowPunct/>
        <w:topLinePunct w:val="0"/>
        <w:autoSpaceDE/>
        <w:autoSpaceDN/>
        <w:bidi w:val="0"/>
        <w:adjustRightInd/>
        <w:snapToGrid w:val="0"/>
        <w:spacing w:line="360" w:lineRule="auto"/>
        <w:ind w:left="0" w:leftChars="0" w:firstLine="562" w:firstLineChars="200"/>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2.</w:t>
      </w:r>
      <w:r>
        <w:rPr>
          <w:rFonts w:hint="eastAsia" w:ascii="仿宋" w:hAnsi="仿宋" w:eastAsia="仿宋" w:cs="仿宋"/>
          <w:b/>
          <w:bCs/>
          <w:sz w:val="28"/>
          <w:szCs w:val="28"/>
          <w:lang w:eastAsia="zh-CN"/>
        </w:rPr>
        <w:t>服务支持要求</w:t>
      </w:r>
    </w:p>
    <w:p w14:paraId="28F1E658">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1</w:t>
      </w:r>
      <w:r>
        <w:rPr>
          <w:rFonts w:hint="eastAsia" w:ascii="仿宋" w:hAnsi="仿宋" w:eastAsia="仿宋" w:cs="仿宋"/>
          <w:sz w:val="24"/>
          <w:szCs w:val="22"/>
          <w:lang w:eastAsia="zh-CN"/>
        </w:rPr>
        <w:t>）</w:t>
      </w:r>
      <w:r>
        <w:rPr>
          <w:rFonts w:hint="eastAsia" w:ascii="仿宋" w:hAnsi="仿宋" w:eastAsia="仿宋" w:cs="仿宋"/>
          <w:sz w:val="24"/>
          <w:szCs w:val="22"/>
        </w:rPr>
        <w:t>本地化服务</w:t>
      </w:r>
    </w:p>
    <w:p w14:paraId="4BD21BA1">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rPr>
        <w:t xml:space="preserve"> 供应商需在广东设有技术支持中心，提供7×24小时中文服务响应，同时覆盖终端、虚拟化防病毒问题处置。 提供月度</w:t>
      </w: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远程或现场）</w:t>
      </w:r>
      <w:r>
        <w:rPr>
          <w:rFonts w:hint="eastAsia" w:ascii="仿宋" w:hAnsi="仿宋" w:eastAsia="仿宋" w:cs="仿宋"/>
          <w:sz w:val="24"/>
          <w:szCs w:val="22"/>
        </w:rPr>
        <w:t>巡检，对4000个终端、虚拟化平台的防病毒防护状态进行全量检查，出具统一巡检报告，明确问题及整改建议。</w:t>
      </w:r>
    </w:p>
    <w:p w14:paraId="589688BD">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lang w:eastAsia="zh-CN"/>
        </w:rPr>
        <w:t>（</w:t>
      </w:r>
      <w:r>
        <w:rPr>
          <w:rFonts w:hint="eastAsia" w:ascii="仿宋" w:hAnsi="仿宋" w:eastAsia="仿宋" w:cs="仿宋"/>
          <w:sz w:val="24"/>
          <w:szCs w:val="22"/>
          <w:lang w:val="en-US" w:eastAsia="zh-CN"/>
        </w:rPr>
        <w:t>2</w:t>
      </w:r>
      <w:r>
        <w:rPr>
          <w:rFonts w:hint="eastAsia" w:ascii="仿宋" w:hAnsi="仿宋" w:eastAsia="仿宋" w:cs="仿宋"/>
          <w:sz w:val="24"/>
          <w:szCs w:val="22"/>
          <w:lang w:eastAsia="zh-CN"/>
        </w:rPr>
        <w:t>）</w:t>
      </w:r>
      <w:r>
        <w:rPr>
          <w:rFonts w:hint="eastAsia" w:ascii="仿宋" w:hAnsi="仿宋" w:eastAsia="仿宋" w:cs="仿宋"/>
          <w:sz w:val="24"/>
          <w:szCs w:val="22"/>
        </w:rPr>
        <w:t>升级与维护</w:t>
      </w:r>
    </w:p>
    <w:p w14:paraId="6C90A523">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rPr>
      </w:pPr>
      <w:r>
        <w:rPr>
          <w:rFonts w:hint="eastAsia" w:ascii="仿宋" w:hAnsi="仿宋" w:eastAsia="仿宋" w:cs="仿宋"/>
          <w:sz w:val="24"/>
          <w:szCs w:val="22"/>
        </w:rPr>
        <w:t xml:space="preserve"> 提供至少3年病毒库及系统版本免费更新服务，覆盖所有终端及虚拟化产品，更新及时、无延迟。 重大漏洞（终端/虚拟化）响应时间不超过4小时，快速提供漏洞修复方案及应急防护策略。</w:t>
      </w:r>
    </w:p>
    <w:p w14:paraId="4D111B8D">
      <w:pPr>
        <w:pageBreakBefore w:val="0"/>
        <w:widowControl w:val="0"/>
        <w:numPr>
          <w:ilvl w:val="0"/>
          <w:numId w:val="0"/>
        </w:numPr>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rPr>
      </w:pPr>
    </w:p>
    <w:p w14:paraId="39878916">
      <w:pPr>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四、商务要求</w:t>
      </w:r>
    </w:p>
    <w:p w14:paraId="21AE9B08">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trike/>
          <w:dstrike w:val="0"/>
          <w:sz w:val="24"/>
          <w:szCs w:val="24"/>
          <w:lang w:val="en-US" w:eastAsia="zh-CN"/>
        </w:rPr>
      </w:pPr>
      <w:r>
        <w:rPr>
          <w:rFonts w:hint="eastAsia" w:ascii="仿宋" w:hAnsi="仿宋" w:eastAsia="仿宋" w:cs="仿宋"/>
          <w:sz w:val="24"/>
          <w:szCs w:val="22"/>
        </w:rPr>
        <w:t>★供应商应持有提供服务所需终端、虚拟化防病毒产品的</w:t>
      </w:r>
      <w:r>
        <w:rPr>
          <w:rFonts w:hint="eastAsia" w:ascii="仿宋" w:hAnsi="仿宋" w:eastAsia="仿宋" w:cs="仿宋"/>
          <w:sz w:val="24"/>
          <w:szCs w:val="22"/>
          <w:lang w:val="en-US" w:eastAsia="zh-CN"/>
        </w:rPr>
        <w:t>官方</w:t>
      </w:r>
      <w:r>
        <w:rPr>
          <w:rFonts w:hint="eastAsia" w:ascii="仿宋" w:hAnsi="仿宋" w:eastAsia="仿宋" w:cs="仿宋"/>
          <w:sz w:val="24"/>
          <w:szCs w:val="22"/>
        </w:rPr>
        <w:t>代理资质，提供对应代理资格证书；运维工程师不少于两人，需同时具备终端、虚拟化防病毒产品的认证工程师资质，提供人员名称及证书。</w:t>
      </w:r>
    </w:p>
    <w:p w14:paraId="32DD9C40">
      <w:pPr>
        <w:pageBreakBefore w:val="0"/>
        <w:widowControl w:val="0"/>
        <w:numPr>
          <w:numId w:val="0"/>
        </w:numPr>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val="en-US" w:eastAsia="zh-CN"/>
        </w:rPr>
      </w:pPr>
    </w:p>
    <w:p w14:paraId="6EABB6F3">
      <w:pPr>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sz w:val="30"/>
          <w:szCs w:val="30"/>
        </w:rPr>
      </w:pPr>
      <w:r>
        <w:rPr>
          <w:rFonts w:hint="eastAsia" w:ascii="仿宋" w:hAnsi="仿宋" w:eastAsia="仿宋" w:cs="仿宋"/>
          <w:b/>
          <w:bCs/>
          <w:sz w:val="30"/>
          <w:szCs w:val="30"/>
          <w:lang w:val="en-US" w:eastAsia="zh-CN"/>
        </w:rPr>
        <w:t>五</w:t>
      </w:r>
      <w:r>
        <w:rPr>
          <w:rFonts w:hint="eastAsia" w:ascii="仿宋" w:hAnsi="仿宋" w:eastAsia="仿宋" w:cs="仿宋"/>
          <w:b/>
          <w:bCs/>
          <w:sz w:val="30"/>
          <w:szCs w:val="30"/>
        </w:rPr>
        <w:t>、交付要求</w:t>
      </w:r>
    </w:p>
    <w:p w14:paraId="2F74C5D1">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供应商交付时，需配合采购人进行终端+虚拟化防病毒功能全量测试，满足要求后方可成功交付投入使用，具体包括：</w:t>
      </w:r>
    </w:p>
    <w:p w14:paraId="7E9680B0">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1. 安装调试：负责4000个终端防病毒产品、虚拟化防病毒产品的安装部署、使用策略调试，完成与医院现有业务系统、内网系统的兼容性测试。</w:t>
      </w:r>
    </w:p>
    <w:p w14:paraId="22310779">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2. 运维培训：提供终端+虚拟化防病毒产品的日常运维培训，覆盖医院运维人员，确保能独立完成基础操作、问题排查。</w:t>
      </w:r>
    </w:p>
    <w:p w14:paraId="569C9B41">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3. 组建安全运营团队：建立日常运维服务微信群，2人以上双认证工程师常驻，实时解决终端、虚拟化平台的日常运维问题。</w:t>
      </w:r>
    </w:p>
    <w:p w14:paraId="525899FB">
      <w:pPr>
        <w:pageBreakBefore w:val="0"/>
        <w:widowControl w:val="0"/>
        <w:numPr>
          <w:ilvl w:val="0"/>
          <w:numId w:val="0"/>
        </w:numPr>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val="en-US" w:eastAsia="zh-CN"/>
        </w:rPr>
      </w:pPr>
    </w:p>
    <w:p w14:paraId="60649AEE">
      <w:pPr>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sz w:val="30"/>
          <w:szCs w:val="30"/>
        </w:rPr>
      </w:pPr>
      <w:r>
        <w:rPr>
          <w:rFonts w:hint="eastAsia" w:ascii="仿宋" w:hAnsi="仿宋" w:eastAsia="仿宋" w:cs="仿宋"/>
          <w:b/>
          <w:bCs/>
          <w:sz w:val="30"/>
          <w:szCs w:val="30"/>
          <w:lang w:val="en-US" w:eastAsia="zh-CN"/>
        </w:rPr>
        <w:t>六</w:t>
      </w:r>
      <w:r>
        <w:rPr>
          <w:rFonts w:hint="eastAsia" w:ascii="仿宋" w:hAnsi="仿宋" w:eastAsia="仿宋" w:cs="仿宋"/>
          <w:b/>
          <w:bCs/>
          <w:sz w:val="30"/>
          <w:szCs w:val="30"/>
        </w:rPr>
        <w:t>、售后服务</w:t>
      </w:r>
    </w:p>
    <w:p w14:paraId="54B600E3">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设立专人担任专属售后客服，保证专线电话全年365天24小时开通且有专人接听；建立完善的售后服务体系，针对终端、虚拟化防病毒问题建立分级处置流程，确保问题闭环解决。</w:t>
      </w:r>
    </w:p>
    <w:p w14:paraId="530ACFE6">
      <w:pPr>
        <w:pageBreakBefore w:val="0"/>
        <w:widowControl w:val="0"/>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val="en-US" w:eastAsia="zh-CN"/>
        </w:rPr>
      </w:pPr>
    </w:p>
    <w:p w14:paraId="14A2A8DE">
      <w:pPr>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sz w:val="30"/>
          <w:szCs w:val="30"/>
        </w:rPr>
      </w:pPr>
      <w:r>
        <w:rPr>
          <w:rFonts w:hint="eastAsia" w:ascii="仿宋" w:hAnsi="仿宋" w:eastAsia="仿宋" w:cs="仿宋"/>
          <w:b/>
          <w:bCs/>
          <w:sz w:val="30"/>
          <w:szCs w:val="30"/>
          <w:lang w:val="en-US" w:eastAsia="zh-CN"/>
        </w:rPr>
        <w:t>七</w:t>
      </w:r>
      <w:r>
        <w:rPr>
          <w:rFonts w:hint="eastAsia" w:ascii="仿宋" w:hAnsi="仿宋" w:eastAsia="仿宋" w:cs="仿宋"/>
          <w:b/>
          <w:bCs/>
          <w:sz w:val="30"/>
          <w:szCs w:val="30"/>
        </w:rPr>
        <w:t>、</w:t>
      </w:r>
      <w:r>
        <w:rPr>
          <w:rFonts w:hint="eastAsia" w:ascii="仿宋" w:hAnsi="仿宋" w:eastAsia="仿宋" w:cs="仿宋"/>
          <w:b/>
          <w:bCs/>
          <w:sz w:val="30"/>
          <w:szCs w:val="30"/>
          <w:lang w:val="en-US" w:eastAsia="zh-CN"/>
        </w:rPr>
        <w:t>支付</w:t>
      </w:r>
      <w:r>
        <w:rPr>
          <w:rFonts w:hint="eastAsia" w:ascii="仿宋" w:hAnsi="仿宋" w:eastAsia="仿宋" w:cs="仿宋"/>
          <w:b/>
          <w:bCs/>
          <w:sz w:val="30"/>
          <w:szCs w:val="30"/>
        </w:rPr>
        <w:t>方式</w:t>
      </w:r>
    </w:p>
    <w:p w14:paraId="53093214">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（1）第一期：中标人在完成软件的安装调试及硬件的部署测试后，采购人组织验收，验收合格后，中标人提供相应正规有效发票，采购人向中标人支付合同总额的50% ；</w:t>
      </w:r>
    </w:p>
    <w:p w14:paraId="5860F447">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（2）第二期：验收合格后，系统稳定运行三个月后，支付合同总额的40%；</w:t>
      </w:r>
    </w:p>
    <w:p w14:paraId="304BCF60">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（3）第三期：合同规定服务期满后，中标人提供正规有效发票及年度服务报告后，采购人向中标人支付合同总额的10%。</w:t>
      </w:r>
    </w:p>
    <w:p w14:paraId="02DD3775">
      <w:pPr>
        <w:pageBreakBefore w:val="0"/>
        <w:widowControl w:val="0"/>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lang w:val="en-US" w:eastAsia="zh-CN"/>
        </w:rPr>
      </w:pPr>
    </w:p>
    <w:p w14:paraId="61003E1E">
      <w:pPr>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八、验收标准：</w:t>
      </w:r>
    </w:p>
    <w:p w14:paraId="1291D081">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项目建设所包含的4000个终端防病毒、虚拟化防病毒配套系统应用软件安装、调试完毕，并稳定运行一个月后，由乙方提出书面验收申请，甲方应于乙方提出验收申请后三十个工作日内组织验收。</w:t>
      </w:r>
    </w:p>
    <w:p w14:paraId="69F9F4AF">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甲方验收不合格或者拒绝验收时，应当在乙方的验收申请上填写验收不合格原因，否则应视为通过验收。</w:t>
      </w:r>
    </w:p>
    <w:p w14:paraId="0B5CE979">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验收内容按照招标文件、合同、相关承诺和相关补充文件的内容进行，覆盖终端、虚拟化防病毒全功能、全服务要求。</w:t>
      </w:r>
    </w:p>
    <w:p w14:paraId="71C9B94B">
      <w:pPr>
        <w:pageBreakBefore w:val="0"/>
        <w:widowControl w:val="0"/>
        <w:kinsoku/>
        <w:wordWrap/>
        <w:overflowPunct/>
        <w:topLinePunct w:val="0"/>
        <w:autoSpaceDE/>
        <w:autoSpaceDN/>
        <w:bidi w:val="0"/>
        <w:adjustRightInd/>
        <w:snapToGrid w:val="0"/>
        <w:spacing w:line="360" w:lineRule="auto"/>
        <w:ind w:leftChars="0" w:firstLine="420" w:firstLineChars="200"/>
        <w:textAlignment w:val="auto"/>
        <w:rPr>
          <w:rFonts w:hint="eastAsia" w:ascii="仿宋" w:hAnsi="仿宋" w:eastAsia="仿宋" w:cs="仿宋"/>
          <w:kern w:val="0"/>
          <w:sz w:val="21"/>
          <w:szCs w:val="20"/>
          <w:lang w:val="en-US" w:eastAsia="zh-CN" w:bidi="ar-SA"/>
        </w:rPr>
      </w:pPr>
    </w:p>
    <w:p w14:paraId="0B2A16A3">
      <w:pPr>
        <w:pageBreakBefore w:val="0"/>
        <w:widowControl w:val="0"/>
        <w:numPr>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sz w:val="30"/>
          <w:szCs w:val="30"/>
        </w:rPr>
      </w:pPr>
      <w:r>
        <w:rPr>
          <w:rFonts w:hint="eastAsia" w:ascii="仿宋" w:hAnsi="仿宋" w:eastAsia="仿宋" w:cs="仿宋"/>
          <w:b/>
          <w:bCs/>
          <w:sz w:val="30"/>
          <w:szCs w:val="30"/>
          <w:lang w:val="en-US" w:eastAsia="zh-CN"/>
        </w:rPr>
        <w:t>九、</w:t>
      </w:r>
      <w:r>
        <w:rPr>
          <w:rFonts w:hint="eastAsia" w:ascii="仿宋" w:hAnsi="仿宋" w:eastAsia="仿宋" w:cs="仿宋"/>
          <w:b/>
          <w:bCs/>
          <w:sz w:val="30"/>
          <w:szCs w:val="30"/>
          <w:lang w:eastAsia="zh-CN"/>
        </w:rPr>
        <w:t>报价方式</w:t>
      </w:r>
    </w:p>
    <w:p w14:paraId="6A29E68B">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报价方式：一口价（含4000个终端防病毒维保、3年虚拟化平台防病毒安全全服务、产品授权、升级、人工等所有费用）</w:t>
      </w:r>
    </w:p>
    <w:p w14:paraId="16849CB0">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有效期：3年</w:t>
      </w:r>
    </w:p>
    <w:p w14:paraId="2005DCFB">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 xml:space="preserve"> 预算：500000.00元（人民币）</w:t>
      </w:r>
    </w:p>
    <w:p w14:paraId="15E0F102">
      <w:pPr>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b w:val="0"/>
          <w:bCs w:val="0"/>
          <w:sz w:val="24"/>
          <w:szCs w:val="24"/>
          <w:lang w:eastAsia="zh-CN"/>
        </w:rPr>
      </w:pPr>
    </w:p>
    <w:p w14:paraId="6C5B5C26">
      <w:pPr>
        <w:pageBreakBefore w:val="0"/>
        <w:widowControl w:val="0"/>
        <w:numPr>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30"/>
          <w:szCs w:val="30"/>
        </w:rPr>
      </w:pPr>
      <w:r>
        <w:rPr>
          <w:rFonts w:hint="eastAsia" w:ascii="仿宋" w:hAnsi="仿宋" w:eastAsia="仿宋" w:cs="仿宋"/>
          <w:b/>
          <w:bCs/>
          <w:sz w:val="30"/>
          <w:szCs w:val="30"/>
          <w:lang w:val="en-US" w:eastAsia="zh-CN"/>
        </w:rPr>
        <w:t>十、</w:t>
      </w:r>
      <w:r>
        <w:rPr>
          <w:rFonts w:hint="eastAsia" w:ascii="仿宋" w:hAnsi="仿宋" w:eastAsia="仿宋" w:cs="仿宋"/>
          <w:b/>
          <w:bCs/>
          <w:sz w:val="30"/>
          <w:szCs w:val="30"/>
          <w:lang w:eastAsia="zh-CN"/>
        </w:rPr>
        <w:t>采购人配合条件</w:t>
      </w:r>
      <w:bookmarkEnd w:id="1"/>
    </w:p>
    <w:p w14:paraId="553BC19F">
      <w:pPr>
        <w:pageBreakBefore w:val="0"/>
        <w:widowControl w:val="0"/>
        <w:kinsoku/>
        <w:wordWrap/>
        <w:overflowPunct/>
        <w:topLinePunct w:val="0"/>
        <w:autoSpaceDE/>
        <w:autoSpaceDN/>
        <w:bidi w:val="0"/>
        <w:adjustRightInd/>
        <w:snapToGrid w:val="0"/>
        <w:spacing w:line="360" w:lineRule="auto"/>
        <w:ind w:leftChars="0" w:firstLine="480" w:firstLineChars="200"/>
        <w:textAlignment w:val="auto"/>
        <w:rPr>
          <w:rFonts w:hint="eastAsia" w:ascii="仿宋" w:hAnsi="仿宋" w:eastAsia="仿宋" w:cs="仿宋"/>
          <w:kern w:val="0"/>
          <w:sz w:val="24"/>
          <w:szCs w:val="22"/>
          <w:lang w:val="en-US" w:eastAsia="zh-CN" w:bidi="ar-SA"/>
        </w:rPr>
      </w:pPr>
      <w:r>
        <w:rPr>
          <w:rFonts w:hint="eastAsia" w:ascii="仿宋" w:hAnsi="仿宋" w:eastAsia="仿宋" w:cs="仿宋"/>
          <w:kern w:val="0"/>
          <w:sz w:val="24"/>
          <w:szCs w:val="22"/>
          <w:lang w:val="en-US" w:eastAsia="zh-CN" w:bidi="ar-SA"/>
        </w:rPr>
        <w:t>如有需要，供应商可在响应文件中列明需由采购人配合的内容，所列配合内容采购人将尽量配合解决，但不代表采购人全部接受，采购人有权全部或部分拒绝供应商提出的配合条件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Segoe UI Emoji">
    <w:panose1 w:val="020B0502040204020203"/>
    <w:charset w:val="00"/>
    <w:family w:val="auto"/>
    <w:pitch w:val="default"/>
    <w:sig w:usb0="00000001" w:usb1="02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3C71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269FF">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7973C">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BEBED">
    <w:pPr>
      <w:pStyle w:val="10"/>
      <w:spacing w:line="240" w:lineRule="auto"/>
      <w:ind w:firstLine="0" w:firstLineChars="0"/>
      <w:rPr>
        <w:sz w:val="18"/>
        <w:szCs w:val="18"/>
      </w:rPr>
    </w:pPr>
    <w:r>
      <w:rPr>
        <w:rFonts w:hint="eastAsia"/>
        <w:sz w:val="18"/>
        <w:szCs w:val="18"/>
      </w:rPr>
      <w:t>中山市人民医院2026防病毒软件续期项目</w:t>
    </w:r>
    <w:r>
      <w:rPr>
        <w:rFonts w:hint="eastAsia"/>
        <w:sz w:val="18"/>
        <w:szCs w:val="18"/>
        <w:lang w:val="en-US" w:eastAsia="zh-CN"/>
      </w:rPr>
      <w:t>-</w:t>
    </w:r>
    <w:r>
      <w:rPr>
        <w:rFonts w:hint="eastAsia"/>
        <w:sz w:val="18"/>
        <w:szCs w:val="18"/>
      </w:rPr>
      <w:t>用户需求书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FA80A">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BE0F3">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A5C536"/>
    <w:multiLevelType w:val="singleLevel"/>
    <w:tmpl w:val="FFA5C536"/>
    <w:lvl w:ilvl="0" w:tentative="0">
      <w:start w:val="1"/>
      <w:numFmt w:val="bullet"/>
      <w:lvlText w:val=""/>
      <w:lvlJc w:val="left"/>
      <w:pPr>
        <w:tabs>
          <w:tab w:val="left" w:pos="420"/>
        </w:tabs>
        <w:ind w:left="840" w:hanging="420"/>
      </w:pPr>
      <w:rPr>
        <w:rFonts w:hint="default" w:ascii="Wingdings" w:hAnsi="Wingdings"/>
      </w:rPr>
    </w:lvl>
  </w:abstractNum>
  <w:abstractNum w:abstractNumId="1">
    <w:nsid w:val="5798272B"/>
    <w:multiLevelType w:val="singleLevel"/>
    <w:tmpl w:val="5798272B"/>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D3858"/>
    <w:rsid w:val="15823158"/>
    <w:rsid w:val="2236157A"/>
    <w:rsid w:val="2D594E2F"/>
    <w:rsid w:val="35CB7BAE"/>
    <w:rsid w:val="4CBA0187"/>
    <w:rsid w:val="691C4781"/>
    <w:rsid w:val="6A0440E6"/>
    <w:rsid w:val="6F006A45"/>
    <w:rsid w:val="77C62DBC"/>
    <w:rsid w:val="7AFD72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宋体" w:eastAsia="宋体" w:cs="宋体"/>
      <w:sz w:val="21"/>
      <w:lang w:val="en-US" w:eastAsia="zh-CN" w:bidi="ar-SA"/>
    </w:rPr>
  </w:style>
  <w:style w:type="paragraph" w:styleId="2">
    <w:name w:val="heading 1"/>
    <w:basedOn w:val="1"/>
    <w:next w:val="1"/>
    <w:link w:val="25"/>
    <w:qFormat/>
    <w:uiPriority w:val="9"/>
    <w:pPr>
      <w:keepNext/>
      <w:keepLines/>
      <w:ind w:firstLine="602"/>
      <w:jc w:val="center"/>
      <w:outlineLvl w:val="0"/>
    </w:pPr>
    <w:rPr>
      <w:b/>
      <w:bCs/>
      <w:color w:val="FF0000"/>
      <w:kern w:val="44"/>
      <w:sz w:val="30"/>
      <w:szCs w:val="44"/>
    </w:rPr>
  </w:style>
  <w:style w:type="paragraph" w:styleId="3">
    <w:name w:val="heading 2"/>
    <w:basedOn w:val="1"/>
    <w:next w:val="1"/>
    <w:link w:val="26"/>
    <w:unhideWhenUsed/>
    <w:qFormat/>
    <w:uiPriority w:val="9"/>
    <w:pPr>
      <w:keepNext/>
      <w:keepLines/>
      <w:spacing w:afterLines="50"/>
      <w:ind w:firstLine="0" w:firstLineChars="0"/>
      <w:outlineLvl w:val="1"/>
    </w:pPr>
    <w:rPr>
      <w:rFonts w:eastAsia="仿宋" w:asciiTheme="majorHAnsi" w:hAnsiTheme="majorHAnsi" w:cstheme="majorBidi"/>
      <w:b/>
      <w:bCs/>
      <w:sz w:val="24"/>
      <w:szCs w:val="32"/>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Document Map"/>
    <w:basedOn w:val="1"/>
    <w:link w:val="31"/>
    <w:unhideWhenUsed/>
    <w:qFormat/>
    <w:uiPriority w:val="99"/>
    <w:rPr>
      <w:sz w:val="18"/>
      <w:szCs w:val="18"/>
    </w:rPr>
  </w:style>
  <w:style w:type="paragraph" w:styleId="5">
    <w:name w:val="annotation text"/>
    <w:basedOn w:val="1"/>
    <w:link w:val="28"/>
    <w:unhideWhenUsed/>
    <w:qFormat/>
    <w:uiPriority w:val="99"/>
    <w:pPr>
      <w:spacing w:line="240" w:lineRule="auto"/>
      <w:ind w:firstLine="0" w:firstLineChars="0"/>
      <w:jc w:val="left"/>
    </w:pPr>
    <w:rPr>
      <w:rFonts w:asciiTheme="minorHAnsi" w:hAnsiTheme="minorHAnsi" w:eastAsiaTheme="minorEastAsia" w:cstheme="minorBidi"/>
      <w:kern w:val="2"/>
      <w:szCs w:val="22"/>
    </w:rPr>
  </w:style>
  <w:style w:type="paragraph" w:styleId="6">
    <w:name w:val="Body Text"/>
    <w:basedOn w:val="1"/>
    <w:next w:val="7"/>
    <w:link w:val="20"/>
    <w:unhideWhenUsed/>
    <w:qFormat/>
    <w:uiPriority w:val="99"/>
    <w:pPr>
      <w:spacing w:before="100" w:beforeAutospacing="1" w:after="120"/>
    </w:pPr>
  </w:style>
  <w:style w:type="paragraph" w:customStyle="1" w:styleId="7">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8">
    <w:name w:val="Balloon Text"/>
    <w:basedOn w:val="1"/>
    <w:link w:val="30"/>
    <w:unhideWhenUsed/>
    <w:qFormat/>
    <w:uiPriority w:val="99"/>
    <w:pPr>
      <w:spacing w:line="240" w:lineRule="auto"/>
    </w:pPr>
    <w:rPr>
      <w:sz w:val="18"/>
      <w:szCs w:val="18"/>
    </w:r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annotation subject"/>
    <w:basedOn w:val="5"/>
    <w:next w:val="5"/>
    <w:link w:val="29"/>
    <w:unhideWhenUsed/>
    <w:qFormat/>
    <w:uiPriority w:val="99"/>
    <w:pPr>
      <w:spacing w:line="360" w:lineRule="auto"/>
      <w:ind w:firstLine="200" w:firstLineChars="200"/>
    </w:pPr>
    <w:rPr>
      <w:rFonts w:ascii="宋体" w:hAnsi="宋体" w:eastAsia="宋体" w:cs="宋体"/>
      <w:b/>
      <w:bCs/>
      <w:kern w:val="0"/>
      <w:szCs w:val="20"/>
    </w:rPr>
  </w:style>
  <w:style w:type="paragraph" w:styleId="12">
    <w:name w:val="Body Text First Indent"/>
    <w:basedOn w:val="6"/>
    <w:next w:val="1"/>
    <w:link w:val="21"/>
    <w:unhideWhenUsed/>
    <w:qFormat/>
    <w:uiPriority w:val="99"/>
    <w:pPr>
      <w:ind w:firstLine="420" w:firstLineChars="100"/>
    </w:pPr>
    <w:rPr>
      <w:rFonts w:ascii="Calibri" w:hAnsi="Calibri" w:cs="Times New Roman"/>
      <w:kern w:val="2"/>
      <w:szCs w:val="21"/>
    </w:rPr>
  </w:style>
  <w:style w:type="table" w:styleId="14">
    <w:name w:val="Table Grid"/>
    <w:basedOn w:val="13"/>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qFormat/>
    <w:uiPriority w:val="22"/>
    <w:rPr>
      <w:b/>
      <w:bCs/>
    </w:rPr>
  </w:style>
  <w:style w:type="character" w:styleId="17">
    <w:name w:val="Emphasis"/>
    <w:basedOn w:val="15"/>
    <w:qFormat/>
    <w:uiPriority w:val="20"/>
    <w:rPr>
      <w:i/>
      <w:iCs/>
    </w:rPr>
  </w:style>
  <w:style w:type="character" w:styleId="18">
    <w:name w:val="annotation reference"/>
    <w:basedOn w:val="15"/>
    <w:unhideWhenUsed/>
    <w:qFormat/>
    <w:uiPriority w:val="99"/>
    <w:rPr>
      <w:sz w:val="21"/>
      <w:szCs w:val="21"/>
    </w:rPr>
  </w:style>
  <w:style w:type="paragraph" w:customStyle="1" w:styleId="19">
    <w:name w:val="表格文字"/>
    <w:basedOn w:val="1"/>
    <w:next w:val="1"/>
    <w:qFormat/>
    <w:uiPriority w:val="0"/>
    <w:pPr>
      <w:spacing w:before="25" w:after="25"/>
      <w:jc w:val="left"/>
    </w:pPr>
    <w:rPr>
      <w:rFonts w:ascii="Times New Roman" w:hAnsi="Times New Roman"/>
      <w:bCs/>
      <w:spacing w:val="10"/>
      <w:kern w:val="0"/>
      <w:sz w:val="24"/>
      <w:szCs w:val="20"/>
    </w:rPr>
  </w:style>
  <w:style w:type="character" w:customStyle="1" w:styleId="20">
    <w:name w:val="正文文本 Char"/>
    <w:basedOn w:val="15"/>
    <w:link w:val="6"/>
    <w:qFormat/>
    <w:uiPriority w:val="99"/>
    <w:rPr>
      <w:rFonts w:ascii="宋体" w:hAnsi="宋体" w:eastAsia="宋体" w:cs="宋体"/>
      <w:kern w:val="0"/>
      <w:sz w:val="20"/>
      <w:szCs w:val="20"/>
    </w:rPr>
  </w:style>
  <w:style w:type="character" w:customStyle="1" w:styleId="21">
    <w:name w:val="正文首行缩进 Char"/>
    <w:basedOn w:val="20"/>
    <w:link w:val="12"/>
    <w:qFormat/>
    <w:uiPriority w:val="99"/>
    <w:rPr>
      <w:rFonts w:ascii="Calibri" w:hAnsi="Calibri" w:eastAsia="宋体" w:cs="Times New Roman"/>
      <w:kern w:val="0"/>
      <w:sz w:val="20"/>
      <w:szCs w:val="21"/>
    </w:rPr>
  </w:style>
  <w:style w:type="paragraph" w:customStyle="1" w:styleId="22">
    <w:name w:val="List Paragraph1"/>
    <w:basedOn w:val="1"/>
    <w:qFormat/>
    <w:uiPriority w:val="0"/>
    <w:pPr>
      <w:ind w:firstLine="420"/>
    </w:pPr>
  </w:style>
  <w:style w:type="character" w:customStyle="1" w:styleId="23">
    <w:name w:val="页眉 Char"/>
    <w:basedOn w:val="15"/>
    <w:link w:val="10"/>
    <w:qFormat/>
    <w:uiPriority w:val="99"/>
    <w:rPr>
      <w:rFonts w:ascii="宋体" w:hAnsi="宋体" w:eastAsia="宋体" w:cs="宋体"/>
      <w:sz w:val="18"/>
      <w:szCs w:val="18"/>
    </w:rPr>
  </w:style>
  <w:style w:type="character" w:customStyle="1" w:styleId="24">
    <w:name w:val="页脚 Char"/>
    <w:basedOn w:val="15"/>
    <w:link w:val="9"/>
    <w:qFormat/>
    <w:uiPriority w:val="99"/>
    <w:rPr>
      <w:rFonts w:ascii="宋体" w:hAnsi="宋体" w:eastAsia="宋体" w:cs="宋体"/>
      <w:sz w:val="18"/>
      <w:szCs w:val="18"/>
    </w:rPr>
  </w:style>
  <w:style w:type="character" w:customStyle="1" w:styleId="25">
    <w:name w:val="标题 1 Char"/>
    <w:basedOn w:val="15"/>
    <w:link w:val="2"/>
    <w:qFormat/>
    <w:uiPriority w:val="9"/>
    <w:rPr>
      <w:rFonts w:ascii="宋体" w:hAnsi="宋体" w:eastAsia="宋体" w:cs="宋体"/>
      <w:b/>
      <w:bCs/>
      <w:color w:val="FF0000"/>
      <w:kern w:val="44"/>
      <w:sz w:val="30"/>
      <w:szCs w:val="44"/>
    </w:rPr>
  </w:style>
  <w:style w:type="character" w:customStyle="1" w:styleId="26">
    <w:name w:val="标题 2 Char"/>
    <w:basedOn w:val="15"/>
    <w:link w:val="3"/>
    <w:qFormat/>
    <w:uiPriority w:val="9"/>
    <w:rPr>
      <w:rFonts w:eastAsia="仿宋" w:asciiTheme="majorHAnsi" w:hAnsiTheme="majorHAnsi" w:cstheme="majorBidi"/>
      <w:b/>
      <w:bCs/>
      <w:sz w:val="24"/>
      <w:szCs w:val="32"/>
    </w:rPr>
  </w:style>
  <w:style w:type="paragraph" w:customStyle="1" w:styleId="27">
    <w:name w:val="List Paragraph"/>
    <w:basedOn w:val="1"/>
    <w:qFormat/>
    <w:uiPriority w:val="99"/>
    <w:pPr>
      <w:ind w:firstLine="420"/>
    </w:pPr>
  </w:style>
  <w:style w:type="character" w:customStyle="1" w:styleId="28">
    <w:name w:val="批注文字 Char"/>
    <w:basedOn w:val="15"/>
    <w:link w:val="5"/>
    <w:semiHidden/>
    <w:qFormat/>
    <w:uiPriority w:val="99"/>
    <w:rPr>
      <w:kern w:val="2"/>
      <w:sz w:val="21"/>
      <w:szCs w:val="22"/>
    </w:rPr>
  </w:style>
  <w:style w:type="character" w:customStyle="1" w:styleId="29">
    <w:name w:val="批注主题 Char"/>
    <w:basedOn w:val="28"/>
    <w:link w:val="11"/>
    <w:semiHidden/>
    <w:qFormat/>
    <w:uiPriority w:val="99"/>
    <w:rPr>
      <w:rFonts w:ascii="宋体" w:hAnsi="宋体" w:eastAsia="宋体" w:cs="宋体"/>
      <w:b/>
      <w:bCs/>
      <w:kern w:val="2"/>
      <w:sz w:val="21"/>
      <w:szCs w:val="22"/>
    </w:rPr>
  </w:style>
  <w:style w:type="character" w:customStyle="1" w:styleId="30">
    <w:name w:val="批注框文本 Char"/>
    <w:basedOn w:val="15"/>
    <w:link w:val="8"/>
    <w:semiHidden/>
    <w:qFormat/>
    <w:uiPriority w:val="99"/>
    <w:rPr>
      <w:rFonts w:ascii="宋体" w:hAnsi="宋体" w:eastAsia="宋体" w:cs="宋体"/>
      <w:sz w:val="18"/>
      <w:szCs w:val="18"/>
    </w:rPr>
  </w:style>
  <w:style w:type="character" w:customStyle="1" w:styleId="31">
    <w:name w:val="文档结构图 Char"/>
    <w:basedOn w:val="15"/>
    <w:link w:val="4"/>
    <w:semiHidden/>
    <w:qFormat/>
    <w:uiPriority w:val="99"/>
    <w:rPr>
      <w:rFonts w:ascii="宋体" w:hAnsi="宋体" w:eastAsia="宋体" w:cs="宋体"/>
      <w:sz w:val="18"/>
      <w:szCs w:val="18"/>
    </w:rPr>
  </w:style>
  <w:style w:type="paragraph" w:customStyle="1" w:styleId="32">
    <w:name w:val="002级标题"/>
    <w:basedOn w:val="1"/>
    <w:qFormat/>
    <w:uiPriority w:val="0"/>
    <w:pPr>
      <w:spacing w:before="120" w:after="120"/>
      <w:ind w:firstLine="200"/>
      <w:jc w:val="left"/>
      <w:outlineLvl w:val="1"/>
    </w:pPr>
    <w:rPr>
      <w:rFonts w:ascii="Calibri" w:hAnsi="Calibri"/>
      <w:b/>
      <w:kern w:val="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2220</Words>
  <Characters>2350</Characters>
  <Lines>69</Lines>
  <Paragraphs>19</Paragraphs>
  <TotalTime>2</TotalTime>
  <ScaleCrop>false</ScaleCrop>
  <LinksUpToDate>false</LinksUpToDate>
  <CharactersWithSpaces>2401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2023-03-30T07:36:00Z</dcterms:created>
  <dc:creator>Windows</dc:creator>
  <cp:lastModifiedBy>未知艺术家</cp:lastModifiedBy>
  <cp:lastPrinted>2023-03-25T08:48:00Z</cp:lastPrinted>
  <dcterms:modified xsi:type="dcterms:W3CDTF">2026-03-13T07:55:43Z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94FE4B1933034A17A0EDF6CF97476D3E_13</vt:lpwstr>
  </property>
  <property fmtid="{D5CDD505-2E9C-101B-9397-08002B2CF9AE}" pid="4" name="KSOTemplateDocerSaveRecord">
    <vt:lpwstr>eyJoZGlkIjoiMGI1MTRkMWMxMTkzOTE3MjliY2ZjYmI2MzAwMDY5ZWIiLCJ1c2VySWQiOiI2MDQxMDI4MDgifQ==</vt:lpwstr>
  </property>
</Properties>
</file>