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D84EB">
      <w:pPr>
        <w:pageBreakBefore w:val="0"/>
        <w:wordWrap/>
        <w:spacing w:before="160" w:after="0"/>
        <w:ind w:left="0" w:right="0"/>
        <w:jc w:val="center"/>
        <w:textAlignment w:val="auto"/>
        <w:rPr>
          <w:sz w:val="32"/>
          <w:szCs w:val="28"/>
        </w:rPr>
      </w:pPr>
      <w:r>
        <w:rPr>
          <w:rFonts w:ascii="宋体" w:hAnsi="宋体" w:eastAsia="宋体" w:cs="宋体"/>
          <w:b w:val="0"/>
          <w:i w:val="0"/>
          <w:spacing w:val="0"/>
          <w:sz w:val="32"/>
          <w:szCs w:val="28"/>
        </w:rPr>
        <w:t>关于数据中心服务器升级项目的技术参数市场调研函</w:t>
      </w:r>
    </w:p>
    <w:p w14:paraId="6DD94D2B">
      <w:pPr>
        <w:pageBreakBefore w:val="0"/>
        <w:wordWrap/>
        <w:spacing w:before="160" w:after="0"/>
        <w:ind w:left="0" w:right="0"/>
        <w:jc w:val="left"/>
        <w:textAlignment w:val="auto"/>
        <w:rPr>
          <w:rFonts w:ascii="宋体" w:hAnsi="宋体" w:eastAsia="宋体" w:cs="宋体"/>
          <w:b w:val="0"/>
          <w:i w:val="0"/>
          <w:spacing w:val="0"/>
          <w:sz w:val="24"/>
        </w:rPr>
      </w:pPr>
    </w:p>
    <w:p w14:paraId="09182462">
      <w:pPr>
        <w:pageBreakBefore w:val="0"/>
        <w:wordWrap/>
        <w:spacing w:before="160" w:after="0"/>
        <w:ind w:left="0" w:right="0" w:firstLine="500" w:firstLineChars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我院现计划对数据中心的虚拟化基础设施进行扩容与升级，旨在通过引入高性能服务器节点，替换老旧物理设备，提升业务系统的稳定性与连续性。为确保项目技术方案的可行性与先进性，现就相关硬件设备及技术服务进行市场调研，请贵司根据目前市场主流产品及服务能力，提供相关资料与建议。</w:t>
      </w:r>
    </w:p>
    <w:p w14:paraId="1355A6DB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一、项目背景与调研目的</w:t>
      </w:r>
    </w:p>
    <w:p w14:paraId="7AE44759">
      <w:pPr>
        <w:pageBreakBefore w:val="0"/>
        <w:wordWrap/>
        <w:spacing w:before="160" w:after="0"/>
        <w:ind w:left="0" w:right="0" w:firstLine="500" w:firstLineChars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我院现有IT基础设施面临升级需求，本次调研涉及两个核心方向：一是对VMware虚拟化集群进行节点扩充；二是针对核心业务系统（HIS、集成平台）进行物理服务器的硬件更新换代。本次调研旨在寻找高性能服务器，用于构建新的虚拟化资源池节点，以及采购专用物理服务器直接替换原有的老旧单体服务器。</w:t>
      </w:r>
    </w:p>
    <w:p w14:paraId="6AD46E1F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核心调研目的：</w:t>
      </w:r>
    </w:p>
    <w:p w14:paraId="381BC433">
      <w:pPr>
        <w:pageBreakBefore w:val="0"/>
        <w:numPr>
          <w:ilvl w:val="0"/>
          <w:numId w:val="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核实新硬件与现有环境的兼容性技术指标</w:t>
      </w:r>
    </w:p>
    <w:p w14:paraId="6B57683E">
      <w:pPr>
        <w:pageBreakBefore w:val="0"/>
        <w:numPr>
          <w:ilvl w:val="0"/>
          <w:numId w:val="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评估旧设备利旧及处置方案的市场价值</w:t>
      </w:r>
    </w:p>
    <w:p w14:paraId="1868FE06">
      <w:pPr>
        <w:pageBreakBefore w:val="0"/>
        <w:numPr>
          <w:ilvl w:val="0"/>
          <w:numId w:val="1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获取满足我院业务连续性要求的网络架构建议</w:t>
      </w:r>
    </w:p>
    <w:p w14:paraId="74074977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二、调研内容与技术指标需求</w:t>
      </w:r>
    </w:p>
    <w:p w14:paraId="2D414A97">
      <w:pPr>
        <w:pageBreakBefore w:val="0"/>
        <w:numPr>
          <w:ilvl w:val="0"/>
          <w:numId w:val="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核心服务器硬件配置（对标调研）</w:t>
      </w:r>
    </w:p>
    <w:p w14:paraId="6E4955DC">
      <w:pPr>
        <w:pageBreakBefore w:val="0"/>
        <w:wordWrap/>
        <w:spacing w:before="160" w:after="0"/>
        <w:ind w:left="0" w:right="0" w:firstLine="500" w:firstLineChars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本次采购包含两类设备：一类用于扩充虚拟化集群（VMware主机），另一类用于承载核心业务的物理独占模式（HIS/集成平台主机）。请贵司推荐满足或优于以下技术指标的服务器产品：</w:t>
      </w:r>
    </w:p>
    <w:p w14:paraId="789E3734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处理器（CPU）：</w:t>
      </w:r>
    </w:p>
    <w:p w14:paraId="67216683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VMware主机调研重点：需配置极高核心数的处理器，以支持高密度虚拟机部署。需配置4颗Intel Xeon Gold 6348H (2.30GHz)或同级别、同代次及以上型号。</w:t>
      </w:r>
    </w:p>
    <w:p w14:paraId="301D28DA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技术指标：单颗物理核心数≥24核，整机物理核心总数≥96核（逻辑线程≥192线程）。</w:t>
      </w:r>
    </w:p>
    <w:p w14:paraId="449AD40E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HIS/集成平台主机调研重点：基于现有负载，需满足或略高于当前配置（HIS: 16核/64G, 集成平台: 32核/256G）。</w:t>
      </w:r>
    </w:p>
    <w:p w14:paraId="4BD0C3A6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内存（RAM）：</w:t>
      </w:r>
    </w:p>
    <w:p w14:paraId="6B1B7767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VMware主机：实得可用容量需≥1.5TB（DDR4 3200MHz ECC Registered）。</w:t>
      </w:r>
    </w:p>
    <w:p w14:paraId="220181A5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HIS/集成平台主机：需满足本地业务系统运行需求（集成平台需≥256GB）。</w:t>
      </w:r>
    </w:p>
    <w:p w14:paraId="41EB1B23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本地存储（重点调研项）：</w:t>
      </w:r>
    </w:p>
    <w:p w14:paraId="22E0810D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现状：HIS及集成平台服务器不连接SAN存储，采用本地硬盘存储数据。</w:t>
      </w:r>
    </w:p>
    <w:p w14:paraId="6512A3B6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特殊需求：鉴于未来业务数据增长及扩容需求，RAID控制器需支持灵活配置。当前配置需支持RAID 1，同时必须支持未来在线扩容或调整为RAID 5/10等，以适应业务增长。请供应商推荐支持该功能的硬件RAID卡型号及配置方案。</w:t>
      </w:r>
    </w:p>
    <w:p w14:paraId="45331DB9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配置要求：配置2块企业级SSD（1TB/1.5TB）用于系统及数据存储。</w:t>
      </w:r>
    </w:p>
    <w:p w14:paraId="26EBA096">
      <w:pPr>
        <w:pageBreakBefore w:val="0"/>
        <w:numPr>
          <w:ilvl w:val="0"/>
          <w:numId w:val="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网络与存储互联架构（高可用性调研）</w:t>
      </w:r>
    </w:p>
    <w:p w14:paraId="34771819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为实现网络链路的物理隔离与全冗余，防止单点故障，请贵司提供支持以下架构的网卡配置建议：</w:t>
      </w:r>
    </w:p>
    <w:tbl>
      <w:tblPr>
        <w:tblStyle w:val="2"/>
        <w:tblW w:w="5000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80"/>
        <w:gridCol w:w="2080"/>
        <w:gridCol w:w="2080"/>
        <w:gridCol w:w="2080"/>
      </w:tblGrid>
      <w:tr w14:paraId="6665C3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250" w:type="pct"/>
            <w:shd w:val="clear" w:color="auto" w:fill="D7D7D7" w:themeFill="background1" w:themeFillShade="D8"/>
          </w:tcPr>
          <w:p w14:paraId="4655E22A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服务器类型</w:t>
            </w:r>
          </w:p>
        </w:tc>
        <w:tc>
          <w:tcPr>
            <w:tcW w:w="1250" w:type="pct"/>
            <w:shd w:val="clear" w:color="auto" w:fill="D7D7D7" w:themeFill="background1" w:themeFillShade="D8"/>
          </w:tcPr>
          <w:p w14:paraId="2FD17C35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网络类型</w:t>
            </w:r>
          </w:p>
        </w:tc>
        <w:tc>
          <w:tcPr>
            <w:tcW w:w="1250" w:type="pct"/>
            <w:shd w:val="clear" w:color="auto" w:fill="D7D7D7" w:themeFill="background1" w:themeFillShade="D8"/>
          </w:tcPr>
          <w:p w14:paraId="753B7D09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预计配置</w:t>
            </w:r>
          </w:p>
        </w:tc>
        <w:tc>
          <w:tcPr>
            <w:tcW w:w="1250" w:type="pct"/>
            <w:shd w:val="clear" w:color="auto" w:fill="D7D7D7" w:themeFill="background1" w:themeFillShade="D8"/>
          </w:tcPr>
          <w:p w14:paraId="209DD296"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pacing w:val="0"/>
                <w:sz w:val="24"/>
              </w:rPr>
              <w:t>调研需求</w:t>
            </w:r>
          </w:p>
        </w:tc>
      </w:tr>
      <w:tr w14:paraId="254F5CF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250" w:type="pct"/>
          </w:tcPr>
          <w:p w14:paraId="4D1CEDAA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FF0000"/>
                <w:spacing w:val="0"/>
                <w:sz w:val="24"/>
              </w:rPr>
              <w:t>VMware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主机</w:t>
            </w:r>
          </w:p>
        </w:tc>
        <w:tc>
          <w:tcPr>
            <w:tcW w:w="1250" w:type="pct"/>
          </w:tcPr>
          <w:p w14:paraId="18F97373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SAN存储网络</w:t>
            </w:r>
          </w:p>
        </w:tc>
        <w:tc>
          <w:tcPr>
            <w:tcW w:w="1250" w:type="pct"/>
          </w:tcPr>
          <w:p w14:paraId="3A2898A5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2张双端口16Gb/32Gb HBA卡</w:t>
            </w:r>
          </w:p>
        </w:tc>
        <w:tc>
          <w:tcPr>
            <w:tcW w:w="1250" w:type="pct"/>
          </w:tcPr>
          <w:p w14:paraId="2D9AB847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需支持多路径I/O，确保存储链路冗余</w:t>
            </w:r>
          </w:p>
        </w:tc>
      </w:tr>
      <w:tr w14:paraId="5D7345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250" w:type="pct"/>
          </w:tcPr>
          <w:p w14:paraId="3BEDB185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FF0000"/>
                <w:spacing w:val="0"/>
                <w:sz w:val="24"/>
              </w:rPr>
              <w:t>VMware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主机</w:t>
            </w:r>
          </w:p>
        </w:tc>
        <w:tc>
          <w:tcPr>
            <w:tcW w:w="1250" w:type="pct"/>
          </w:tcPr>
          <w:p w14:paraId="1BB80A99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业务网络</w:t>
            </w:r>
          </w:p>
        </w:tc>
        <w:tc>
          <w:tcPr>
            <w:tcW w:w="1250" w:type="pct"/>
          </w:tcPr>
          <w:p w14:paraId="51E49A10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2张双端口万兆（10GbE）光口网卡</w:t>
            </w:r>
          </w:p>
        </w:tc>
        <w:tc>
          <w:tcPr>
            <w:tcW w:w="1250" w:type="pct"/>
          </w:tcPr>
          <w:p w14:paraId="662D3627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需支持LACP链路聚合，保障业务高吞吐</w:t>
            </w:r>
          </w:p>
        </w:tc>
      </w:tr>
      <w:tr w14:paraId="1B4D4D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250" w:type="pct"/>
          </w:tcPr>
          <w:p w14:paraId="071D65A5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FF0000"/>
                <w:spacing w:val="0"/>
                <w:sz w:val="24"/>
              </w:rPr>
              <w:t>VMware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主机</w:t>
            </w:r>
          </w:p>
        </w:tc>
        <w:tc>
          <w:tcPr>
            <w:tcW w:w="1250" w:type="pct"/>
          </w:tcPr>
          <w:p w14:paraId="046B2277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管理/vMotion网络</w:t>
            </w:r>
          </w:p>
        </w:tc>
        <w:tc>
          <w:tcPr>
            <w:tcW w:w="1250" w:type="pct"/>
          </w:tcPr>
          <w:p w14:paraId="048391BF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2张双端口万兆（10GbE）光口网卡</w:t>
            </w:r>
          </w:p>
        </w:tc>
        <w:tc>
          <w:tcPr>
            <w:tcW w:w="1250" w:type="pct"/>
          </w:tcPr>
          <w:p w14:paraId="7C09B82F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需独立于业务网卡，确保管理通道物理隔离</w:t>
            </w:r>
          </w:p>
        </w:tc>
      </w:tr>
      <w:tr w14:paraId="56664D4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250" w:type="pct"/>
          </w:tcPr>
          <w:p w14:paraId="4DD73F28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HIS/集成平台</w:t>
            </w:r>
          </w:p>
        </w:tc>
        <w:tc>
          <w:tcPr>
            <w:tcW w:w="1250" w:type="pct"/>
          </w:tcPr>
          <w:p w14:paraId="2EAEBB60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业务/管理网络</w:t>
            </w:r>
          </w:p>
        </w:tc>
        <w:tc>
          <w:tcPr>
            <w:tcW w:w="1250" w:type="pct"/>
          </w:tcPr>
          <w:p w14:paraId="354CA598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板载网卡或万兆网卡</w:t>
            </w:r>
          </w:p>
        </w:tc>
        <w:tc>
          <w:tcPr>
            <w:tcW w:w="1250" w:type="pct"/>
          </w:tcPr>
          <w:p w14:paraId="2E94A2E7"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4"/>
              </w:rPr>
              <w:t>需支持业务与管理网络物理隔离</w:t>
            </w:r>
          </w:p>
        </w:tc>
      </w:tr>
    </w:tbl>
    <w:p w14:paraId="58482710">
      <w:pPr>
        <w:pageBreakBefore w:val="0"/>
        <w:numPr>
          <w:ilvl w:val="0"/>
          <w:numId w:val="2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承载业务资源需求（性能验证）</w:t>
      </w:r>
    </w:p>
    <w:p w14:paraId="6B779C3A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VMware主机：需承载体检、急诊等新建业务系统的虚拟机，总资源需求约为128核vCPU及576GB内存。请评估资源余量及超分比例。</w:t>
      </w:r>
    </w:p>
    <w:p w14:paraId="17015250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HIS/集成平台主机：需直接运行核心业务软件，请评估推荐配置是否满足未来3-5年的业务增长需求。</w:t>
      </w:r>
    </w:p>
    <w:p w14:paraId="1BEA9E93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三、旧资产处置与利旧意向</w:t>
      </w:r>
    </w:p>
    <w:p w14:paraId="0F6DFD21">
      <w:pPr>
        <w:pageBreakBefore w:val="0"/>
        <w:wordWrap/>
        <w:spacing w:before="160" w:after="0"/>
        <w:ind w:left="0" w:right="0" w:firstLine="500" w:firstLineChars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我院手头有一批旧存储设备，计划在本次升级中进行处理。请贵司协助调研以下设备的市场回收价值或置换抵扣方案：</w:t>
      </w:r>
    </w:p>
    <w:p w14:paraId="7EC1116A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内存模块（约17条）：</w:t>
      </w:r>
    </w:p>
    <w:p w14:paraId="35A68DA7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包含联想、SK Hynix、三星等品牌的16GB DDR4内存（频率涵盖2400T/2666V）</w:t>
      </w:r>
    </w:p>
    <w:p w14:paraId="3DA2244A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硬盘模块：</w:t>
      </w:r>
    </w:p>
    <w:p w14:paraId="5E75F2B9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Dell EMC 1.92TB SAS SSD (PM1643a)</w:t>
      </w:r>
    </w:p>
    <w:p w14:paraId="2CEC180E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• IBM 2.4TB SAS硬盘 (ST2400MM0129)</w:t>
      </w:r>
    </w:p>
    <w:p w14:paraId="4E898A08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调研问题：贵司是否提供上述旧设备的回收或置换服务？预计可抵扣的金额范围是多少？</w:t>
      </w:r>
    </w:p>
    <w:p w14:paraId="20901610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四、交付与技术服务需求</w:t>
      </w:r>
    </w:p>
    <w:p w14:paraId="0D838DCF">
      <w:pPr>
        <w:pageBreakBefore w:val="0"/>
        <w:wordWrap/>
        <w:spacing w:before="160" w:after="0"/>
        <w:ind w:left="0" w:right="0" w:firstLine="500" w:firstLineChars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请贵司针对以下服务内容提供实施方案与周期预估：</w:t>
      </w:r>
    </w:p>
    <w:p w14:paraId="0678B9C8">
      <w:pPr>
        <w:pageBreakBefore w:val="0"/>
        <w:numPr>
          <w:ilvl w:val="0"/>
          <w:numId w:val="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集群接入：新服务器接入现有VMware集群的EVC模式配置方案</w:t>
      </w:r>
    </w:p>
    <w:p w14:paraId="57B65394">
      <w:pPr>
        <w:pageBreakBefore w:val="0"/>
        <w:numPr>
          <w:ilvl w:val="0"/>
          <w:numId w:val="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数据迁移：将原物理机（HIS/集成平台）数据迁移至新服务器的技术路径（P2P物理迁移）与风险评估</w:t>
      </w:r>
    </w:p>
    <w:p w14:paraId="7CFD51C8">
      <w:pPr>
        <w:pageBreakBefore w:val="0"/>
        <w:numPr>
          <w:ilvl w:val="0"/>
          <w:numId w:val="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存储挂载：HBA卡与现有磁盘阵列的连接（Zone划分、LUN映射）实施计划</w:t>
      </w:r>
    </w:p>
    <w:p w14:paraId="684C2A60">
      <w:pPr>
        <w:pageBreakBefore w:val="0"/>
        <w:numPr>
          <w:ilvl w:val="0"/>
          <w:numId w:val="3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质保服务：3年原厂上门保修的具体SLA标准（如备件到场时间）</w:t>
      </w:r>
    </w:p>
    <w:p w14:paraId="1E9EA701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五、供应商需反馈资料</w:t>
      </w:r>
    </w:p>
    <w:p w14:paraId="45C6AEDF">
      <w:pPr>
        <w:pageBreakBefore w:val="0"/>
        <w:wordWrap/>
        <w:spacing w:before="160" w:after="0"/>
        <w:ind w:left="0" w:right="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请贵司提供以下资料：</w:t>
      </w:r>
    </w:p>
    <w:p w14:paraId="059EFBB8">
      <w:pPr>
        <w:pageBreakBefore w:val="0"/>
        <w:numPr>
          <w:ilvl w:val="0"/>
          <w:numId w:val="4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推荐产品的详细技术白皮书及配置清单</w:t>
      </w:r>
    </w:p>
    <w:p w14:paraId="45C39DBE">
      <w:pPr>
        <w:pageBreakBefore w:val="0"/>
        <w:numPr>
          <w:ilvl w:val="0"/>
          <w:numId w:val="4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针对旧设备的回收/置换估价单</w:t>
      </w:r>
    </w:p>
    <w:p w14:paraId="623A22E7">
      <w:pPr>
        <w:pageBreakBefore w:val="0"/>
        <w:numPr>
          <w:ilvl w:val="0"/>
          <w:numId w:val="4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项目实施服务方案（含人员资质）</w:t>
      </w:r>
    </w:p>
    <w:p w14:paraId="3C8AB883">
      <w:pPr>
        <w:pageBreakBefore w:val="0"/>
        <w:numPr>
          <w:ilvl w:val="0"/>
          <w:numId w:val="4"/>
        </w:numPr>
        <w:wordWrap/>
        <w:spacing w:before="160" w:after="0"/>
        <w:ind w:left="440" w:right="0" w:hanging="440"/>
        <w:jc w:val="lef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含税预估报价单（需单独列出设备费与服务费）</w:t>
      </w:r>
      <w:bookmarkStart w:id="0" w:name="_GoBack"/>
      <w:bookmarkEnd w:id="0"/>
    </w:p>
    <w:p w14:paraId="7689058F">
      <w:pPr>
        <w:pageBreakBefore w:val="0"/>
        <w:wordWrap/>
        <w:spacing w:before="160" w:after="0"/>
        <w:ind w:left="0" w:right="0"/>
        <w:jc w:val="right"/>
        <w:textAlignment w:val="auto"/>
        <w:rPr>
          <w:rFonts w:ascii="宋体" w:hAnsi="宋体" w:eastAsia="宋体" w:cs="宋体"/>
          <w:b w:val="0"/>
          <w:i w:val="0"/>
          <w:spacing w:val="0"/>
          <w:sz w:val="24"/>
        </w:rPr>
      </w:pPr>
    </w:p>
    <w:p w14:paraId="1E580F08">
      <w:pPr>
        <w:pageBreakBefore w:val="0"/>
        <w:wordWrap/>
        <w:spacing w:before="160" w:after="0"/>
        <w:ind w:left="0" w:right="0"/>
        <w:jc w:val="right"/>
        <w:textAlignment w:val="auto"/>
        <w:rPr>
          <w:sz w:val="24"/>
        </w:rPr>
      </w:pPr>
      <w:r>
        <w:rPr>
          <w:rFonts w:ascii="宋体" w:hAnsi="宋体" w:eastAsia="宋体" w:cs="宋体"/>
          <w:b w:val="0"/>
          <w:i w:val="0"/>
          <w:spacing w:val="0"/>
          <w:sz w:val="24"/>
        </w:rPr>
        <w:t>中山市人民医院 信息科</w:t>
      </w:r>
    </w:p>
    <w:p w14:paraId="2A5E8A15">
      <w:pPr>
        <w:pageBreakBefore w:val="0"/>
        <w:wordWrap/>
        <w:spacing w:before="160" w:after="0"/>
        <w:ind w:left="0" w:right="0"/>
        <w:jc w:val="right"/>
        <w:textAlignment w:val="auto"/>
        <w:rPr>
          <w:sz w:val="24"/>
        </w:rPr>
      </w:pPr>
    </w:p>
    <w:p w14:paraId="7F782D4A">
      <w:pPr>
        <w:jc w:val="left"/>
      </w:pPr>
    </w:p>
    <w:sectPr>
      <w:headerReference r:id="rId3" w:type="default"/>
      <w:footerReference r:id="rId4" w:type="default"/>
      <w:pgSz w:w="11900" w:h="15840"/>
      <w:pgMar w:top="1440" w:right="1800" w:bottom="1440" w:left="180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38178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70ED1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1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decimal"/>
      <w:lvlText w:val="%1.%2."/>
      <w:lvlJc w:val="left"/>
      <w:pPr>
        <w:ind w:left="1100" w:hanging="660"/>
      </w:pPr>
    </w:lvl>
    <w:lvl w:ilvl="2" w:tentative="0">
      <w:start w:val="1"/>
      <w:numFmt w:val="decimal"/>
      <w:lvlRestart w:val="1"/>
      <w:lvlText w:val="%1.%2.%3."/>
      <w:lvlJc w:val="left"/>
      <w:pPr>
        <w:ind w:left="1760" w:hanging="880"/>
      </w:pPr>
    </w:lvl>
    <w:lvl w:ilvl="3" w:tentative="0">
      <w:start w:val="1"/>
      <w:numFmt w:val="decimal"/>
      <w:lvlRestart w:val="1"/>
      <w:lvlText w:val="%1.%2.%3.%4."/>
      <w:lvlJc w:val="left"/>
      <w:pPr>
        <w:ind w:left="2420" w:hanging="1100"/>
      </w:pPr>
    </w:lvl>
    <w:lvl w:ilvl="4" w:tentative="0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 w:tentative="0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 w:tentative="0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 w:tentative="0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 w:tentative="0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127F1B4C"/>
    <w:rsid w:val="46860F72"/>
    <w:rsid w:val="5EA7438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1610</Words>
  <Characters>1901</Characters>
  <TotalTime>6</TotalTime>
  <ScaleCrop>false</ScaleCrop>
  <LinksUpToDate>false</LinksUpToDate>
  <CharactersWithSpaces>1938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2026-04-17T07:00:00Z</dcterms:created>
  <dc:creator>Apache POI</dc:creator>
  <cp:lastModifiedBy>呼拉拉</cp:lastModifiedBy>
  <dcterms:modified xsi:type="dcterms:W3CDTF">2026-06-18T02:01:46Z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ContentPropagator":"001191440101MA9Y9T4H7A00000","Label":"1","ReservedCode1":"UbMZHQdonVjIGqzDE+U1I1jY+EocpR1G7BF1HfFATdw=","ProduceID":"doc_sgs:14c6aa2e-b79e-4af5-a55f-28155bcc9638","ReservedCode2":"UbMZHQdonVjIGqzDE+U1I1jY+EocpR1G7BF1HfFATdw=","PropagateID":"doc_sgs:14c6aa2e-b79e-4af5-a55f-28155bcc9638","ContentProducer":"001191440101MA9Y9T4H7A00000"}</vt:lpwstr>
  </property>
  <property fmtid="{D5CDD505-2E9C-101B-9397-08002B2CF9AE}" pid="3" name="KSOTemplateDocerSaveRecord">
    <vt:lpwstr>eyJoZGlkIjoiMzAxMTM4NTQ1ZjBlYjk1ZDQ2YzNlMGY1NTU2ZWQ2ODQiLCJ1c2VySWQiOiI1MjY1NDQ4MjMifQ==</vt:lpwstr>
  </property>
  <property fmtid="{D5CDD505-2E9C-101B-9397-08002B2CF9AE}" pid="4" name="KSOProductBuildVer">
    <vt:lpwstr>2052-12.1.0.26895</vt:lpwstr>
  </property>
  <property fmtid="{D5CDD505-2E9C-101B-9397-08002B2CF9AE}" pid="5" name="ICV">
    <vt:lpwstr>E4A37108608C4301A40C671EE6E1D312_12</vt:lpwstr>
  </property>
</Properties>
</file>