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48D609">
      <w:pPr>
        <w:spacing w:line="324" w:lineRule="auto"/>
        <w:ind w:left="2" w:firstLine="560"/>
        <w:jc w:val="center"/>
        <w:rPr>
          <w:rFonts w:ascii="宋体" w:eastAsia="宋体"/>
          <w:color w:val="000000"/>
        </w:rPr>
      </w:pPr>
      <w:bookmarkStart w:id="0" w:name="_GoBack"/>
      <w:r>
        <w:rPr>
          <w:rFonts w:hint="eastAsia" w:ascii="宋体" w:hAnsi="宋体"/>
        </w:rPr>
        <w:t>康怡特诊中心门诊部导</w:t>
      </w:r>
      <w:r>
        <w:rPr>
          <w:rFonts w:hint="eastAsia" w:ascii="宋体" w:hAnsi="宋体"/>
          <w:color w:val="000000"/>
        </w:rPr>
        <w:t>诊服务需求书</w:t>
      </w:r>
    </w:p>
    <w:bookmarkEnd w:id="0"/>
    <w:p w14:paraId="7C325F44">
      <w:pPr>
        <w:ind w:firstLine="420"/>
        <w:rPr>
          <w:sz w:val="21"/>
          <w:szCs w:val="21"/>
        </w:rPr>
      </w:pPr>
      <w:r>
        <w:rPr>
          <w:rFonts w:hint="eastAsia"/>
          <w:sz w:val="21"/>
          <w:szCs w:val="21"/>
        </w:rPr>
        <w:t>中山市人民医院是集医疗、教学、科研、预防保健为一体的综合性“三级甲等医院”，康怡特诊中心是根据中山市卫生局批准成立向市民提供特诊医疗服务，并按照特诊服务标准收费的服务场所。</w:t>
      </w:r>
    </w:p>
    <w:p w14:paraId="3AE917F8">
      <w:pPr>
        <w:ind w:firstLine="420"/>
        <w:rPr>
          <w:sz w:val="21"/>
          <w:szCs w:val="21"/>
        </w:rPr>
      </w:pPr>
      <w:r>
        <w:rPr>
          <w:rFonts w:hint="eastAsia"/>
          <w:sz w:val="21"/>
          <w:szCs w:val="21"/>
        </w:rPr>
        <w:t>康怡特诊中心门诊部导医导诊服务，是为用户提供包含特诊电话预约服务、专人院内导诊服务、代办缴费服务、医学报告打印服务、客户投诉处理服务。通过优质的导医导诊服务，提高用户就医满意度和提供多层次的就医服务。</w:t>
      </w:r>
    </w:p>
    <w:p w14:paraId="75CC53BA">
      <w:pPr>
        <w:pStyle w:val="8"/>
        <w:numPr>
          <w:ilvl w:val="0"/>
          <w:numId w:val="1"/>
        </w:numPr>
        <w:spacing w:line="324" w:lineRule="auto"/>
        <w:ind w:firstLineChars="0"/>
        <w:rPr>
          <w:rFonts w:ascii="宋体" w:eastAsia="宋体"/>
          <w:b/>
          <w:color w:val="000000"/>
        </w:rPr>
      </w:pPr>
      <w:r>
        <w:rPr>
          <w:rFonts w:hint="eastAsia" w:ascii="宋体" w:eastAsia="宋体"/>
          <w:b/>
          <w:color w:val="000000"/>
        </w:rPr>
        <w:t>服务内容</w:t>
      </w:r>
    </w:p>
    <w:p w14:paraId="4DEC02BE">
      <w:pPr>
        <w:pStyle w:val="9"/>
        <w:numPr>
          <w:ilvl w:val="0"/>
          <w:numId w:val="2"/>
        </w:numPr>
        <w:ind w:firstLineChars="0"/>
        <w:rPr>
          <w:sz w:val="21"/>
          <w:szCs w:val="21"/>
        </w:rPr>
      </w:pPr>
      <w:r>
        <w:rPr>
          <w:rFonts w:hint="eastAsia"/>
          <w:b/>
          <w:sz w:val="21"/>
          <w:szCs w:val="21"/>
        </w:rPr>
        <w:t>特诊电话预约服务：</w:t>
      </w:r>
      <w:r>
        <w:rPr>
          <w:rFonts w:hint="eastAsia"/>
          <w:sz w:val="21"/>
          <w:szCs w:val="21"/>
        </w:rPr>
        <w:t>中标人为客户提供特诊电话预约服务，并根据客户需求预约特诊专家，预约专家服务时间通知客户并做好客户反馈确认和专家短信提醒服务，并在预约时间前</w:t>
      </w:r>
      <w:r>
        <w:rPr>
          <w:sz w:val="21"/>
          <w:szCs w:val="21"/>
        </w:rPr>
        <w:t>10</w:t>
      </w:r>
      <w:r>
        <w:rPr>
          <w:rFonts w:hint="eastAsia"/>
          <w:sz w:val="21"/>
          <w:szCs w:val="21"/>
        </w:rPr>
        <w:t>分钟，做好预约双方的二次确认。中标人应提供相关信息服务系统支持。</w:t>
      </w:r>
    </w:p>
    <w:p w14:paraId="237BEB2A">
      <w:pPr>
        <w:pStyle w:val="9"/>
        <w:numPr>
          <w:ilvl w:val="0"/>
          <w:numId w:val="2"/>
        </w:numPr>
        <w:ind w:firstLineChars="0"/>
        <w:rPr>
          <w:sz w:val="21"/>
          <w:szCs w:val="21"/>
        </w:rPr>
      </w:pPr>
      <w:r>
        <w:rPr>
          <w:rFonts w:hint="eastAsia"/>
          <w:b/>
          <w:sz w:val="21"/>
          <w:szCs w:val="21"/>
        </w:rPr>
        <w:t>院内专人导诊服务：</w:t>
      </w:r>
      <w:r>
        <w:rPr>
          <w:rFonts w:hint="eastAsia"/>
          <w:sz w:val="21"/>
          <w:szCs w:val="21"/>
        </w:rPr>
        <w:t>中标人配备专职导诊人员，为客户提供专人导诊服务，并根据特诊区域客户的增减，适当增减人员以配置足够的服务人员，严格遵守和按照中山市人民医院院内各项管理规定，为客户提供院内特诊快速服务。</w:t>
      </w:r>
    </w:p>
    <w:p w14:paraId="71D13195">
      <w:pPr>
        <w:pStyle w:val="9"/>
        <w:numPr>
          <w:ilvl w:val="0"/>
          <w:numId w:val="2"/>
        </w:numPr>
        <w:ind w:firstLineChars="0"/>
        <w:rPr>
          <w:sz w:val="21"/>
          <w:szCs w:val="21"/>
        </w:rPr>
      </w:pPr>
      <w:r>
        <w:rPr>
          <w:rFonts w:hint="eastAsia"/>
          <w:b/>
          <w:sz w:val="21"/>
          <w:szCs w:val="21"/>
        </w:rPr>
        <w:t>代办缴费取药服务：</w:t>
      </w:r>
      <w:r>
        <w:rPr>
          <w:rFonts w:hint="eastAsia"/>
          <w:sz w:val="21"/>
          <w:szCs w:val="21"/>
        </w:rPr>
        <w:t>在客户提出要求的情况下，客户可选择由导诊人员为客户完成缴费取药服务。</w:t>
      </w:r>
    </w:p>
    <w:p w14:paraId="6F7981BC">
      <w:pPr>
        <w:pStyle w:val="9"/>
        <w:numPr>
          <w:ilvl w:val="0"/>
          <w:numId w:val="2"/>
        </w:numPr>
        <w:ind w:firstLineChars="0"/>
        <w:rPr>
          <w:sz w:val="21"/>
          <w:szCs w:val="21"/>
        </w:rPr>
      </w:pPr>
      <w:r>
        <w:rPr>
          <w:rFonts w:hint="eastAsia"/>
          <w:b/>
          <w:sz w:val="21"/>
          <w:szCs w:val="21"/>
        </w:rPr>
        <w:t>医疗报告打印服务：</w:t>
      </w:r>
      <w:r>
        <w:rPr>
          <w:rFonts w:hint="eastAsia"/>
          <w:sz w:val="21"/>
          <w:szCs w:val="21"/>
        </w:rPr>
        <w:t>中标人根据客户需求，为客户打印相关检查</w:t>
      </w:r>
      <w:r>
        <w:rPr>
          <w:rFonts w:hint="eastAsia"/>
          <w:color w:val="FF0000"/>
          <w:sz w:val="21"/>
          <w:szCs w:val="21"/>
        </w:rPr>
        <w:t>检验</w:t>
      </w:r>
      <w:r>
        <w:rPr>
          <w:rFonts w:hint="eastAsia"/>
          <w:sz w:val="21"/>
          <w:szCs w:val="21"/>
        </w:rPr>
        <w:t>报告。</w:t>
      </w:r>
    </w:p>
    <w:p w14:paraId="37FF679A">
      <w:pPr>
        <w:pStyle w:val="9"/>
        <w:numPr>
          <w:ilvl w:val="0"/>
          <w:numId w:val="2"/>
        </w:numPr>
        <w:ind w:firstLineChars="0"/>
        <w:rPr>
          <w:sz w:val="21"/>
          <w:szCs w:val="21"/>
        </w:rPr>
      </w:pPr>
      <w:r>
        <w:rPr>
          <w:rFonts w:hint="eastAsia"/>
          <w:b/>
          <w:sz w:val="21"/>
          <w:szCs w:val="21"/>
        </w:rPr>
        <w:t>客户投诉处理服务：</w:t>
      </w:r>
      <w:r>
        <w:rPr>
          <w:rFonts w:hint="eastAsia"/>
          <w:sz w:val="21"/>
          <w:szCs w:val="21"/>
        </w:rPr>
        <w:t>对于客户在导医导诊及就诊过程中出现的问题及纠纷，中标人负责及时处理，协助医院跟进及解决问题。</w:t>
      </w:r>
    </w:p>
    <w:p w14:paraId="525D6F4F">
      <w:pPr>
        <w:pStyle w:val="9"/>
        <w:numPr>
          <w:ilvl w:val="0"/>
          <w:numId w:val="2"/>
        </w:numPr>
        <w:ind w:firstLineChars="0"/>
        <w:rPr>
          <w:sz w:val="21"/>
          <w:szCs w:val="21"/>
        </w:rPr>
      </w:pPr>
      <w:r>
        <w:rPr>
          <w:rFonts w:hint="eastAsia"/>
          <w:sz w:val="21"/>
          <w:szCs w:val="21"/>
        </w:rPr>
        <w:t>在服务期间，乙方负责特诊预约服务系统的建设、服务团队招聘培训、导诊服务提供等工作。乙方需要配置35人以上（以上人员配置按每天早上客户数70-80人计算，如在此基础上每超过</w:t>
      </w:r>
      <w:r>
        <w:rPr>
          <w:sz w:val="21"/>
          <w:szCs w:val="21"/>
        </w:rPr>
        <w:t>5</w:t>
      </w:r>
      <w:r>
        <w:rPr>
          <w:rFonts w:hint="eastAsia"/>
          <w:sz w:val="21"/>
          <w:szCs w:val="21"/>
        </w:rPr>
        <w:t>个客户，应相应增加</w:t>
      </w:r>
      <w:r>
        <w:rPr>
          <w:sz w:val="21"/>
          <w:szCs w:val="21"/>
        </w:rPr>
        <w:t>1</w:t>
      </w:r>
      <w:r>
        <w:rPr>
          <w:rFonts w:hint="eastAsia"/>
          <w:sz w:val="21"/>
          <w:szCs w:val="21"/>
        </w:rPr>
        <w:t>人的配置。35人岗位分配如下：主管</w:t>
      </w:r>
      <w:r>
        <w:rPr>
          <w:sz w:val="21"/>
          <w:szCs w:val="21"/>
        </w:rPr>
        <w:t>1</w:t>
      </w:r>
      <w:r>
        <w:rPr>
          <w:rFonts w:hint="eastAsia"/>
          <w:sz w:val="21"/>
          <w:szCs w:val="21"/>
        </w:rPr>
        <w:t>人，查询报告5人，打印报告5人，厅处级体检联络</w:t>
      </w:r>
      <w:r>
        <w:rPr>
          <w:sz w:val="21"/>
          <w:szCs w:val="21"/>
        </w:rPr>
        <w:t>2</w:t>
      </w:r>
      <w:r>
        <w:rPr>
          <w:rFonts w:hint="eastAsia"/>
          <w:sz w:val="21"/>
          <w:szCs w:val="21"/>
        </w:rPr>
        <w:t>人，预约3人，肠胃镜导诊</w:t>
      </w:r>
      <w:r>
        <w:rPr>
          <w:sz w:val="21"/>
          <w:szCs w:val="21"/>
        </w:rPr>
        <w:t>2</w:t>
      </w:r>
      <w:r>
        <w:rPr>
          <w:rFonts w:hint="eastAsia"/>
          <w:sz w:val="21"/>
          <w:szCs w:val="21"/>
        </w:rPr>
        <w:t>人，电瓶车</w:t>
      </w:r>
      <w:r>
        <w:rPr>
          <w:sz w:val="21"/>
          <w:szCs w:val="21"/>
        </w:rPr>
        <w:t>1</w:t>
      </w:r>
      <w:r>
        <w:rPr>
          <w:rFonts w:hint="eastAsia"/>
          <w:sz w:val="21"/>
          <w:szCs w:val="21"/>
        </w:rPr>
        <w:t>-2人，导诊人员15人），以上人员需为</w:t>
      </w:r>
      <w:r>
        <w:rPr>
          <w:sz w:val="21"/>
          <w:szCs w:val="21"/>
        </w:rPr>
        <w:t>35</w:t>
      </w:r>
      <w:r>
        <w:rPr>
          <w:rFonts w:hint="eastAsia"/>
          <w:sz w:val="21"/>
          <w:szCs w:val="21"/>
        </w:rPr>
        <w:t>岁以下、具备高中以上学历，形象健康良好，电瓶车操作人员需有上岗证。（备注：乙方人员配备以保证完成诊区工作任务为前提，如因导诊员业务不熟悉等原因导致不能完成工作任务，乙方应及时增加人力以保证完成工作任务。），以上人员需为</w:t>
      </w:r>
      <w:r>
        <w:rPr>
          <w:sz w:val="21"/>
          <w:szCs w:val="21"/>
        </w:rPr>
        <w:t>35</w:t>
      </w:r>
      <w:r>
        <w:rPr>
          <w:rFonts w:hint="eastAsia"/>
          <w:sz w:val="21"/>
          <w:szCs w:val="21"/>
        </w:rPr>
        <w:t>岁以下女性、具备高中以上学历，形象良好为佳，电瓶车人员需有上岗证。</w:t>
      </w:r>
    </w:p>
    <w:tbl>
      <w:tblPr>
        <w:tblStyle w:val="5"/>
        <w:tblW w:w="87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520"/>
        <w:gridCol w:w="5320"/>
      </w:tblGrid>
      <w:tr w14:paraId="3A3022D6">
        <w:trPr>
          <w:jc w:val="center"/>
        </w:trPr>
        <w:tc>
          <w:tcPr>
            <w:tcW w:w="948" w:type="dxa"/>
          </w:tcPr>
          <w:p w14:paraId="091ABE10">
            <w:pPr>
              <w:ind w:firstLine="0" w:firstLineChars="0"/>
              <w:jc w:val="center"/>
              <w:rPr>
                <w:b/>
                <w:sz w:val="21"/>
                <w:szCs w:val="21"/>
              </w:rPr>
            </w:pPr>
            <w:r>
              <w:rPr>
                <w:rFonts w:hint="eastAsia"/>
                <w:b/>
                <w:sz w:val="21"/>
                <w:szCs w:val="21"/>
              </w:rPr>
              <w:t>序号</w:t>
            </w:r>
          </w:p>
        </w:tc>
        <w:tc>
          <w:tcPr>
            <w:tcW w:w="2520" w:type="dxa"/>
          </w:tcPr>
          <w:p w14:paraId="601C2A66">
            <w:pPr>
              <w:ind w:firstLine="0" w:firstLineChars="0"/>
              <w:jc w:val="center"/>
              <w:rPr>
                <w:b/>
                <w:sz w:val="21"/>
                <w:szCs w:val="21"/>
              </w:rPr>
            </w:pPr>
            <w:r>
              <w:rPr>
                <w:rFonts w:hint="eastAsia"/>
                <w:b/>
                <w:sz w:val="21"/>
                <w:szCs w:val="21"/>
              </w:rPr>
              <w:t>服务内容</w:t>
            </w:r>
          </w:p>
        </w:tc>
        <w:tc>
          <w:tcPr>
            <w:tcW w:w="5320" w:type="dxa"/>
          </w:tcPr>
          <w:p w14:paraId="06CEF4C9">
            <w:pPr>
              <w:ind w:firstLine="0" w:firstLineChars="0"/>
              <w:jc w:val="center"/>
              <w:rPr>
                <w:b/>
                <w:sz w:val="21"/>
                <w:szCs w:val="21"/>
              </w:rPr>
            </w:pPr>
            <w:r>
              <w:rPr>
                <w:rFonts w:hint="eastAsia"/>
                <w:b/>
                <w:sz w:val="21"/>
                <w:szCs w:val="21"/>
              </w:rPr>
              <w:t>服务职责</w:t>
            </w:r>
          </w:p>
        </w:tc>
      </w:tr>
      <w:tr w14:paraId="27C4BFF5">
        <w:trPr>
          <w:jc w:val="center"/>
        </w:trPr>
        <w:tc>
          <w:tcPr>
            <w:tcW w:w="948" w:type="dxa"/>
          </w:tcPr>
          <w:p w14:paraId="0A0385E6">
            <w:pPr>
              <w:ind w:firstLine="0" w:firstLineChars="0"/>
              <w:jc w:val="center"/>
              <w:rPr>
                <w:bCs/>
                <w:sz w:val="21"/>
                <w:szCs w:val="21"/>
              </w:rPr>
            </w:pPr>
            <w:r>
              <w:rPr>
                <w:bCs/>
                <w:sz w:val="21"/>
                <w:szCs w:val="21"/>
              </w:rPr>
              <w:t>1</w:t>
            </w:r>
          </w:p>
        </w:tc>
        <w:tc>
          <w:tcPr>
            <w:tcW w:w="2520" w:type="dxa"/>
          </w:tcPr>
          <w:p w14:paraId="32C3D1D0">
            <w:pPr>
              <w:ind w:firstLine="0" w:firstLineChars="0"/>
              <w:jc w:val="center"/>
              <w:rPr>
                <w:bCs/>
                <w:sz w:val="21"/>
                <w:szCs w:val="21"/>
              </w:rPr>
            </w:pPr>
            <w:r>
              <w:rPr>
                <w:rFonts w:hint="eastAsia"/>
                <w:bCs/>
                <w:sz w:val="21"/>
                <w:szCs w:val="21"/>
              </w:rPr>
              <w:t>主管</w:t>
            </w:r>
          </w:p>
        </w:tc>
        <w:tc>
          <w:tcPr>
            <w:tcW w:w="5320" w:type="dxa"/>
          </w:tcPr>
          <w:p w14:paraId="08AB0B3C">
            <w:pPr>
              <w:numPr>
                <w:ilvl w:val="0"/>
                <w:numId w:val="3"/>
              </w:numPr>
              <w:ind w:left="420" w:hanging="420" w:hangingChars="200"/>
              <w:jc w:val="left"/>
              <w:rPr>
                <w:bCs/>
                <w:sz w:val="21"/>
                <w:szCs w:val="21"/>
              </w:rPr>
            </w:pPr>
            <w:r>
              <w:rPr>
                <w:rFonts w:hint="eastAsia"/>
                <w:bCs/>
                <w:sz w:val="21"/>
                <w:szCs w:val="21"/>
              </w:rPr>
              <w:t>负责现场管理</w:t>
            </w:r>
          </w:p>
          <w:p w14:paraId="2CEE5A92">
            <w:pPr>
              <w:numPr>
                <w:ilvl w:val="0"/>
                <w:numId w:val="3"/>
              </w:numPr>
              <w:ind w:left="420" w:hanging="420" w:hangingChars="200"/>
              <w:jc w:val="left"/>
              <w:rPr>
                <w:bCs/>
                <w:sz w:val="21"/>
                <w:szCs w:val="21"/>
              </w:rPr>
            </w:pPr>
            <w:r>
              <w:rPr>
                <w:rFonts w:hint="eastAsia"/>
                <w:bCs/>
                <w:sz w:val="21"/>
                <w:szCs w:val="21"/>
              </w:rPr>
              <w:t>导诊员日常培训指导</w:t>
            </w:r>
          </w:p>
          <w:p w14:paraId="55E57104">
            <w:pPr>
              <w:numPr>
                <w:ilvl w:val="0"/>
                <w:numId w:val="3"/>
              </w:numPr>
              <w:ind w:left="420" w:hanging="420" w:hangingChars="200"/>
              <w:jc w:val="left"/>
              <w:rPr>
                <w:bCs/>
                <w:sz w:val="21"/>
                <w:szCs w:val="21"/>
              </w:rPr>
            </w:pPr>
            <w:r>
              <w:rPr>
                <w:rFonts w:hint="eastAsia"/>
                <w:bCs/>
                <w:sz w:val="21"/>
                <w:szCs w:val="21"/>
              </w:rPr>
              <w:t>安排导诊人员岗位</w:t>
            </w:r>
          </w:p>
          <w:p w14:paraId="005B1D7F">
            <w:pPr>
              <w:numPr>
                <w:ilvl w:val="0"/>
                <w:numId w:val="3"/>
              </w:numPr>
              <w:ind w:left="420" w:hanging="420" w:hangingChars="200"/>
              <w:jc w:val="left"/>
              <w:rPr>
                <w:bCs/>
                <w:sz w:val="21"/>
                <w:szCs w:val="21"/>
              </w:rPr>
            </w:pPr>
            <w:r>
              <w:rPr>
                <w:rFonts w:hint="eastAsia"/>
                <w:bCs/>
                <w:sz w:val="21"/>
                <w:szCs w:val="21"/>
              </w:rPr>
              <w:t>协调导诊人员日常工作问题</w:t>
            </w:r>
          </w:p>
          <w:p w14:paraId="466705AA">
            <w:pPr>
              <w:numPr>
                <w:ilvl w:val="0"/>
                <w:numId w:val="3"/>
              </w:numPr>
              <w:ind w:left="420" w:hanging="420" w:hangingChars="200"/>
              <w:jc w:val="left"/>
              <w:rPr>
                <w:bCs/>
                <w:sz w:val="21"/>
                <w:szCs w:val="21"/>
              </w:rPr>
            </w:pPr>
            <w:r>
              <w:rPr>
                <w:rFonts w:hint="eastAsia"/>
                <w:bCs/>
                <w:sz w:val="21"/>
                <w:szCs w:val="21"/>
              </w:rPr>
              <w:t>协调处理诊区突发事件</w:t>
            </w:r>
          </w:p>
        </w:tc>
      </w:tr>
      <w:tr w14:paraId="60515E34">
        <w:trPr>
          <w:jc w:val="center"/>
        </w:trPr>
        <w:tc>
          <w:tcPr>
            <w:tcW w:w="948" w:type="dxa"/>
          </w:tcPr>
          <w:p w14:paraId="5DD59173">
            <w:pPr>
              <w:ind w:firstLine="0" w:firstLineChars="0"/>
              <w:jc w:val="center"/>
              <w:rPr>
                <w:sz w:val="21"/>
                <w:szCs w:val="21"/>
              </w:rPr>
            </w:pPr>
            <w:r>
              <w:rPr>
                <w:sz w:val="21"/>
                <w:szCs w:val="21"/>
              </w:rPr>
              <w:t>2</w:t>
            </w:r>
          </w:p>
        </w:tc>
        <w:tc>
          <w:tcPr>
            <w:tcW w:w="2520" w:type="dxa"/>
          </w:tcPr>
          <w:p w14:paraId="4FD102C9">
            <w:pPr>
              <w:ind w:firstLine="0" w:firstLineChars="0"/>
              <w:jc w:val="center"/>
              <w:rPr>
                <w:sz w:val="21"/>
                <w:szCs w:val="21"/>
              </w:rPr>
            </w:pPr>
            <w:r>
              <w:rPr>
                <w:rFonts w:hint="eastAsia"/>
                <w:sz w:val="21"/>
                <w:szCs w:val="21"/>
              </w:rPr>
              <w:t>报告查询</w:t>
            </w:r>
          </w:p>
        </w:tc>
        <w:tc>
          <w:tcPr>
            <w:tcW w:w="5320" w:type="dxa"/>
          </w:tcPr>
          <w:p w14:paraId="5BF5712C">
            <w:pPr>
              <w:numPr>
                <w:ilvl w:val="0"/>
                <w:numId w:val="4"/>
              </w:numPr>
              <w:ind w:left="420" w:hanging="420" w:hangingChars="200"/>
              <w:jc w:val="left"/>
              <w:rPr>
                <w:sz w:val="21"/>
                <w:szCs w:val="21"/>
              </w:rPr>
            </w:pPr>
            <w:r>
              <w:rPr>
                <w:rFonts w:hint="eastAsia"/>
                <w:sz w:val="21"/>
                <w:szCs w:val="21"/>
              </w:rPr>
              <w:t>为客户查询报告进度，当天报告未能发出时，需为后续的报告跟进。跟进有困难者直接与院方沟通。</w:t>
            </w:r>
          </w:p>
          <w:p w14:paraId="1795F579">
            <w:pPr>
              <w:numPr>
                <w:ilvl w:val="0"/>
                <w:numId w:val="4"/>
              </w:numPr>
              <w:ind w:left="420" w:hanging="420" w:hangingChars="200"/>
              <w:jc w:val="left"/>
              <w:rPr>
                <w:sz w:val="21"/>
                <w:szCs w:val="21"/>
              </w:rPr>
            </w:pPr>
            <w:r>
              <w:rPr>
                <w:rFonts w:hint="eastAsia"/>
                <w:sz w:val="21"/>
                <w:szCs w:val="21"/>
              </w:rPr>
              <w:t>厅处级体检期间，查询体检报告，遇到体检值异常时，需即时登记并上报。当所有体检报告完成时，需发送邮件给总检医生。</w:t>
            </w:r>
          </w:p>
        </w:tc>
      </w:tr>
      <w:tr w14:paraId="27A75227">
        <w:trPr>
          <w:jc w:val="center"/>
        </w:trPr>
        <w:tc>
          <w:tcPr>
            <w:tcW w:w="948" w:type="dxa"/>
          </w:tcPr>
          <w:p w14:paraId="316AB388">
            <w:pPr>
              <w:ind w:firstLine="0" w:firstLineChars="0"/>
              <w:jc w:val="center"/>
              <w:rPr>
                <w:sz w:val="21"/>
                <w:szCs w:val="21"/>
              </w:rPr>
            </w:pPr>
          </w:p>
          <w:p w14:paraId="43DC148F">
            <w:pPr>
              <w:ind w:firstLine="0" w:firstLineChars="0"/>
              <w:jc w:val="center"/>
              <w:rPr>
                <w:sz w:val="21"/>
                <w:szCs w:val="21"/>
              </w:rPr>
            </w:pPr>
          </w:p>
          <w:p w14:paraId="2D2152BE">
            <w:pPr>
              <w:ind w:firstLine="0" w:firstLineChars="0"/>
              <w:rPr>
                <w:sz w:val="21"/>
                <w:szCs w:val="21"/>
              </w:rPr>
            </w:pPr>
          </w:p>
          <w:p w14:paraId="3E2C0FC5">
            <w:pPr>
              <w:ind w:firstLine="0" w:firstLineChars="0"/>
              <w:jc w:val="center"/>
              <w:rPr>
                <w:sz w:val="21"/>
                <w:szCs w:val="21"/>
              </w:rPr>
            </w:pPr>
            <w:r>
              <w:rPr>
                <w:sz w:val="21"/>
                <w:szCs w:val="21"/>
              </w:rPr>
              <w:t>3</w:t>
            </w:r>
          </w:p>
          <w:p w14:paraId="03100901">
            <w:pPr>
              <w:ind w:firstLine="0" w:firstLineChars="0"/>
              <w:jc w:val="center"/>
              <w:rPr>
                <w:sz w:val="21"/>
                <w:szCs w:val="21"/>
              </w:rPr>
            </w:pPr>
          </w:p>
        </w:tc>
        <w:tc>
          <w:tcPr>
            <w:tcW w:w="2520" w:type="dxa"/>
          </w:tcPr>
          <w:p w14:paraId="1C1B55AA">
            <w:pPr>
              <w:ind w:firstLine="0" w:firstLineChars="0"/>
              <w:rPr>
                <w:sz w:val="21"/>
                <w:szCs w:val="21"/>
              </w:rPr>
            </w:pPr>
            <w:r>
              <w:rPr>
                <w:sz w:val="21"/>
                <w:szCs w:val="21"/>
              </w:rPr>
              <w:t xml:space="preserve">   </w:t>
            </w:r>
          </w:p>
          <w:p w14:paraId="17180576">
            <w:pPr>
              <w:ind w:firstLine="0" w:firstLineChars="0"/>
              <w:rPr>
                <w:sz w:val="21"/>
                <w:szCs w:val="21"/>
              </w:rPr>
            </w:pPr>
          </w:p>
          <w:p w14:paraId="00674853">
            <w:pPr>
              <w:ind w:firstLine="0" w:firstLineChars="0"/>
              <w:rPr>
                <w:sz w:val="21"/>
                <w:szCs w:val="21"/>
              </w:rPr>
            </w:pPr>
            <w:r>
              <w:rPr>
                <w:sz w:val="21"/>
                <w:szCs w:val="21"/>
              </w:rPr>
              <w:t xml:space="preserve">       </w:t>
            </w:r>
            <w:r>
              <w:rPr>
                <w:rFonts w:hint="eastAsia"/>
                <w:sz w:val="21"/>
                <w:szCs w:val="21"/>
              </w:rPr>
              <w:t>报告打印</w:t>
            </w:r>
          </w:p>
        </w:tc>
        <w:tc>
          <w:tcPr>
            <w:tcW w:w="5320" w:type="dxa"/>
          </w:tcPr>
          <w:p w14:paraId="2A764CAB">
            <w:pPr>
              <w:numPr>
                <w:ilvl w:val="0"/>
                <w:numId w:val="5"/>
              </w:numPr>
              <w:ind w:left="420" w:hanging="420" w:hangingChars="200"/>
              <w:jc w:val="left"/>
              <w:rPr>
                <w:sz w:val="21"/>
                <w:szCs w:val="21"/>
              </w:rPr>
            </w:pPr>
            <w:r>
              <w:rPr>
                <w:rFonts w:hint="eastAsia"/>
                <w:sz w:val="21"/>
                <w:szCs w:val="21"/>
              </w:rPr>
              <w:t>将已完成总检的体检报告按要求打印并装订，交由审核医生签名并盖章，完成后通知客户取报告。</w:t>
            </w:r>
          </w:p>
          <w:p w14:paraId="01BA0ACF">
            <w:pPr>
              <w:numPr>
                <w:ilvl w:val="0"/>
                <w:numId w:val="5"/>
              </w:numPr>
              <w:ind w:left="420" w:hanging="420" w:hangingChars="200"/>
              <w:jc w:val="left"/>
              <w:rPr>
                <w:sz w:val="21"/>
                <w:szCs w:val="21"/>
              </w:rPr>
            </w:pPr>
            <w:r>
              <w:rPr>
                <w:rFonts w:hint="eastAsia"/>
                <w:sz w:val="21"/>
                <w:szCs w:val="21"/>
              </w:rPr>
              <w:t>厅处级干部的体检报告装订后送审核医生签名盖章，并为有需要的干部刻录光盘后再统一通过邮递寄送。须时刻掌握报告接收情况。</w:t>
            </w:r>
          </w:p>
        </w:tc>
      </w:tr>
      <w:tr w14:paraId="5AA3DBF8">
        <w:trPr>
          <w:jc w:val="center"/>
        </w:trPr>
        <w:tc>
          <w:tcPr>
            <w:tcW w:w="948" w:type="dxa"/>
          </w:tcPr>
          <w:p w14:paraId="64A7D329">
            <w:pPr>
              <w:ind w:firstLine="0" w:firstLineChars="0"/>
              <w:rPr>
                <w:sz w:val="21"/>
                <w:szCs w:val="21"/>
              </w:rPr>
            </w:pPr>
            <w:r>
              <w:rPr>
                <w:sz w:val="21"/>
                <w:szCs w:val="21"/>
              </w:rPr>
              <w:t xml:space="preserve">  </w:t>
            </w:r>
          </w:p>
          <w:p w14:paraId="673A8A64">
            <w:pPr>
              <w:ind w:firstLine="0" w:firstLineChars="0"/>
              <w:rPr>
                <w:sz w:val="21"/>
                <w:szCs w:val="21"/>
              </w:rPr>
            </w:pPr>
          </w:p>
          <w:p w14:paraId="2199E427">
            <w:pPr>
              <w:ind w:firstLine="0" w:firstLineChars="0"/>
              <w:rPr>
                <w:sz w:val="21"/>
                <w:szCs w:val="21"/>
              </w:rPr>
            </w:pPr>
            <w:r>
              <w:rPr>
                <w:sz w:val="21"/>
                <w:szCs w:val="21"/>
              </w:rPr>
              <w:t xml:space="preserve">  4</w:t>
            </w:r>
          </w:p>
          <w:p w14:paraId="501B9F36">
            <w:pPr>
              <w:ind w:firstLine="0" w:firstLineChars="0"/>
              <w:jc w:val="center"/>
              <w:rPr>
                <w:sz w:val="21"/>
                <w:szCs w:val="21"/>
              </w:rPr>
            </w:pPr>
          </w:p>
        </w:tc>
        <w:tc>
          <w:tcPr>
            <w:tcW w:w="2520" w:type="dxa"/>
          </w:tcPr>
          <w:p w14:paraId="2E27728F">
            <w:pPr>
              <w:ind w:firstLine="0" w:firstLineChars="0"/>
              <w:jc w:val="center"/>
              <w:rPr>
                <w:sz w:val="21"/>
                <w:szCs w:val="21"/>
              </w:rPr>
            </w:pPr>
          </w:p>
          <w:p w14:paraId="6C56F99F">
            <w:pPr>
              <w:ind w:firstLine="0" w:firstLineChars="0"/>
              <w:rPr>
                <w:sz w:val="21"/>
                <w:szCs w:val="21"/>
              </w:rPr>
            </w:pPr>
          </w:p>
          <w:p w14:paraId="3302D8C2">
            <w:pPr>
              <w:ind w:firstLine="0" w:firstLineChars="0"/>
              <w:jc w:val="center"/>
              <w:rPr>
                <w:sz w:val="21"/>
                <w:szCs w:val="21"/>
              </w:rPr>
            </w:pPr>
            <w:r>
              <w:rPr>
                <w:rFonts w:hint="eastAsia"/>
                <w:sz w:val="21"/>
                <w:szCs w:val="21"/>
              </w:rPr>
              <w:t>预约岗位</w:t>
            </w:r>
          </w:p>
        </w:tc>
        <w:tc>
          <w:tcPr>
            <w:tcW w:w="5320" w:type="dxa"/>
          </w:tcPr>
          <w:p w14:paraId="18AE6848">
            <w:pPr>
              <w:numPr>
                <w:ilvl w:val="0"/>
                <w:numId w:val="6"/>
              </w:numPr>
              <w:ind w:left="420" w:hanging="420" w:hangingChars="200"/>
              <w:jc w:val="left"/>
              <w:rPr>
                <w:sz w:val="21"/>
                <w:szCs w:val="21"/>
              </w:rPr>
            </w:pPr>
            <w:r>
              <w:rPr>
                <w:rFonts w:hint="eastAsia"/>
                <w:sz w:val="21"/>
                <w:szCs w:val="21"/>
              </w:rPr>
              <w:t>及时接听预约电话，根据客户的需求，预约相应的专科医生。</w:t>
            </w:r>
          </w:p>
          <w:p w14:paraId="2D792280">
            <w:pPr>
              <w:numPr>
                <w:ilvl w:val="0"/>
                <w:numId w:val="6"/>
              </w:numPr>
              <w:ind w:left="420" w:hanging="420" w:hangingChars="200"/>
              <w:jc w:val="left"/>
              <w:rPr>
                <w:sz w:val="21"/>
                <w:szCs w:val="21"/>
              </w:rPr>
            </w:pPr>
            <w:r>
              <w:rPr>
                <w:rFonts w:hint="eastAsia"/>
                <w:sz w:val="21"/>
                <w:szCs w:val="21"/>
              </w:rPr>
              <w:t>与专家保持良好的沟通，专家接诊、停诊的处理。</w:t>
            </w:r>
          </w:p>
          <w:p w14:paraId="46CFD1A9">
            <w:pPr>
              <w:numPr>
                <w:ilvl w:val="0"/>
                <w:numId w:val="6"/>
              </w:numPr>
              <w:ind w:left="420" w:hanging="420" w:hangingChars="200"/>
              <w:jc w:val="left"/>
              <w:rPr>
                <w:sz w:val="21"/>
                <w:szCs w:val="21"/>
              </w:rPr>
            </w:pPr>
            <w:r>
              <w:rPr>
                <w:rFonts w:hint="eastAsia"/>
                <w:sz w:val="21"/>
                <w:szCs w:val="21"/>
              </w:rPr>
              <w:t>特诊病房出院患者需在康怡门诊定期复查的客户及时跟进预约安排就诊。</w:t>
            </w:r>
          </w:p>
        </w:tc>
      </w:tr>
      <w:tr w14:paraId="3FC78898">
        <w:trPr>
          <w:jc w:val="center"/>
        </w:trPr>
        <w:tc>
          <w:tcPr>
            <w:tcW w:w="948" w:type="dxa"/>
          </w:tcPr>
          <w:p w14:paraId="1ED57680">
            <w:pPr>
              <w:ind w:firstLine="0" w:firstLineChars="0"/>
              <w:jc w:val="center"/>
              <w:rPr>
                <w:sz w:val="21"/>
                <w:szCs w:val="21"/>
              </w:rPr>
            </w:pPr>
          </w:p>
          <w:p w14:paraId="7A846FCB">
            <w:pPr>
              <w:ind w:firstLine="0" w:firstLineChars="0"/>
              <w:rPr>
                <w:sz w:val="21"/>
                <w:szCs w:val="21"/>
              </w:rPr>
            </w:pPr>
          </w:p>
          <w:p w14:paraId="15D16D4B">
            <w:pPr>
              <w:ind w:firstLine="0" w:firstLineChars="0"/>
              <w:jc w:val="center"/>
              <w:rPr>
                <w:sz w:val="21"/>
                <w:szCs w:val="21"/>
              </w:rPr>
            </w:pPr>
            <w:r>
              <w:rPr>
                <w:sz w:val="21"/>
                <w:szCs w:val="21"/>
              </w:rPr>
              <w:t>5</w:t>
            </w:r>
          </w:p>
          <w:p w14:paraId="49915CB9">
            <w:pPr>
              <w:ind w:firstLine="0" w:firstLineChars="0"/>
              <w:jc w:val="center"/>
              <w:rPr>
                <w:sz w:val="21"/>
                <w:szCs w:val="21"/>
              </w:rPr>
            </w:pPr>
          </w:p>
        </w:tc>
        <w:tc>
          <w:tcPr>
            <w:tcW w:w="2520" w:type="dxa"/>
          </w:tcPr>
          <w:p w14:paraId="4A6E8A31">
            <w:pPr>
              <w:ind w:firstLine="0" w:firstLineChars="0"/>
              <w:rPr>
                <w:sz w:val="21"/>
                <w:szCs w:val="21"/>
              </w:rPr>
            </w:pPr>
          </w:p>
          <w:p w14:paraId="73201048">
            <w:pPr>
              <w:ind w:firstLine="0" w:firstLineChars="0"/>
              <w:jc w:val="center"/>
              <w:rPr>
                <w:sz w:val="21"/>
                <w:szCs w:val="21"/>
              </w:rPr>
            </w:pPr>
            <w:r>
              <w:rPr>
                <w:rFonts w:hint="eastAsia"/>
                <w:sz w:val="21"/>
                <w:szCs w:val="21"/>
              </w:rPr>
              <w:t>单位及厅处级体检联络</w:t>
            </w:r>
          </w:p>
        </w:tc>
        <w:tc>
          <w:tcPr>
            <w:tcW w:w="5320" w:type="dxa"/>
          </w:tcPr>
          <w:p w14:paraId="1A98616A">
            <w:pPr>
              <w:numPr>
                <w:ilvl w:val="0"/>
                <w:numId w:val="7"/>
              </w:numPr>
              <w:ind w:left="420" w:hanging="420" w:hangingChars="200"/>
              <w:jc w:val="left"/>
              <w:rPr>
                <w:sz w:val="21"/>
                <w:szCs w:val="21"/>
              </w:rPr>
            </w:pPr>
            <w:r>
              <w:rPr>
                <w:rFonts w:hint="eastAsia"/>
                <w:sz w:val="21"/>
                <w:szCs w:val="21"/>
              </w:rPr>
              <w:t>负责每年厅处级干部体检单位的时间安排。</w:t>
            </w:r>
          </w:p>
          <w:p w14:paraId="3156EAB5">
            <w:pPr>
              <w:numPr>
                <w:ilvl w:val="0"/>
                <w:numId w:val="7"/>
              </w:numPr>
              <w:ind w:left="420" w:hanging="420" w:hangingChars="200"/>
              <w:jc w:val="left"/>
              <w:rPr>
                <w:sz w:val="21"/>
                <w:szCs w:val="21"/>
              </w:rPr>
            </w:pPr>
            <w:r>
              <w:rPr>
                <w:rFonts w:hint="eastAsia"/>
                <w:sz w:val="21"/>
                <w:szCs w:val="21"/>
              </w:rPr>
              <w:t>为准备体检的单位制定体检指引单。</w:t>
            </w:r>
          </w:p>
          <w:p w14:paraId="5C5E03AD">
            <w:pPr>
              <w:numPr>
                <w:ilvl w:val="0"/>
                <w:numId w:val="7"/>
              </w:numPr>
              <w:ind w:left="420" w:hanging="420" w:hangingChars="200"/>
              <w:jc w:val="left"/>
              <w:rPr>
                <w:sz w:val="21"/>
                <w:szCs w:val="21"/>
              </w:rPr>
            </w:pPr>
            <w:r>
              <w:rPr>
                <w:rFonts w:hint="eastAsia"/>
                <w:sz w:val="21"/>
                <w:szCs w:val="21"/>
              </w:rPr>
              <w:t>每周向主管领导汇报下周来体检的处级单位及人数。</w:t>
            </w:r>
          </w:p>
        </w:tc>
      </w:tr>
      <w:tr w14:paraId="0CA11AD6">
        <w:trPr>
          <w:jc w:val="center"/>
        </w:trPr>
        <w:tc>
          <w:tcPr>
            <w:tcW w:w="948" w:type="dxa"/>
          </w:tcPr>
          <w:p w14:paraId="3B28F112">
            <w:pPr>
              <w:ind w:firstLine="0" w:firstLineChars="0"/>
              <w:jc w:val="center"/>
              <w:rPr>
                <w:sz w:val="21"/>
                <w:szCs w:val="21"/>
              </w:rPr>
            </w:pPr>
          </w:p>
          <w:p w14:paraId="6B7B2400">
            <w:pPr>
              <w:ind w:firstLine="0" w:firstLineChars="0"/>
              <w:jc w:val="center"/>
              <w:rPr>
                <w:sz w:val="21"/>
                <w:szCs w:val="21"/>
              </w:rPr>
            </w:pPr>
          </w:p>
          <w:p w14:paraId="3882A8B1">
            <w:pPr>
              <w:ind w:firstLine="0" w:firstLineChars="0"/>
              <w:jc w:val="center"/>
              <w:rPr>
                <w:sz w:val="21"/>
                <w:szCs w:val="21"/>
              </w:rPr>
            </w:pPr>
          </w:p>
          <w:p w14:paraId="178EB0D2">
            <w:pPr>
              <w:ind w:firstLine="0" w:firstLineChars="0"/>
              <w:rPr>
                <w:sz w:val="21"/>
                <w:szCs w:val="21"/>
              </w:rPr>
            </w:pPr>
            <w:r>
              <w:rPr>
                <w:sz w:val="21"/>
                <w:szCs w:val="21"/>
              </w:rPr>
              <w:t xml:space="preserve"> </w:t>
            </w:r>
          </w:p>
          <w:p w14:paraId="21231283">
            <w:pPr>
              <w:ind w:firstLine="0" w:firstLineChars="0"/>
              <w:rPr>
                <w:sz w:val="21"/>
                <w:szCs w:val="21"/>
              </w:rPr>
            </w:pPr>
            <w:r>
              <w:rPr>
                <w:sz w:val="21"/>
                <w:szCs w:val="21"/>
              </w:rPr>
              <w:t xml:space="preserve">  6</w:t>
            </w:r>
          </w:p>
        </w:tc>
        <w:tc>
          <w:tcPr>
            <w:tcW w:w="2520" w:type="dxa"/>
          </w:tcPr>
          <w:p w14:paraId="43057590">
            <w:pPr>
              <w:ind w:firstLine="0" w:firstLineChars="0"/>
              <w:jc w:val="center"/>
              <w:rPr>
                <w:sz w:val="21"/>
                <w:szCs w:val="21"/>
              </w:rPr>
            </w:pPr>
          </w:p>
          <w:p w14:paraId="62E35A51">
            <w:pPr>
              <w:ind w:firstLine="0" w:firstLineChars="0"/>
              <w:rPr>
                <w:sz w:val="21"/>
                <w:szCs w:val="21"/>
              </w:rPr>
            </w:pPr>
          </w:p>
          <w:p w14:paraId="7FBBED66">
            <w:pPr>
              <w:ind w:firstLine="0" w:firstLineChars="0"/>
              <w:jc w:val="center"/>
              <w:rPr>
                <w:sz w:val="21"/>
                <w:szCs w:val="21"/>
              </w:rPr>
            </w:pPr>
            <w:r>
              <w:rPr>
                <w:rFonts w:hint="eastAsia"/>
                <w:sz w:val="21"/>
                <w:szCs w:val="21"/>
              </w:rPr>
              <w:t>胃肠镜导诊</w:t>
            </w:r>
          </w:p>
        </w:tc>
        <w:tc>
          <w:tcPr>
            <w:tcW w:w="5320" w:type="dxa"/>
          </w:tcPr>
          <w:p w14:paraId="29D46552">
            <w:pPr>
              <w:numPr>
                <w:ilvl w:val="0"/>
                <w:numId w:val="8"/>
              </w:numPr>
              <w:ind w:left="420" w:hanging="420" w:hangingChars="200"/>
              <w:jc w:val="left"/>
              <w:rPr>
                <w:sz w:val="21"/>
                <w:szCs w:val="21"/>
              </w:rPr>
            </w:pPr>
            <w:r>
              <w:rPr>
                <w:rFonts w:hint="eastAsia"/>
                <w:sz w:val="21"/>
                <w:szCs w:val="21"/>
              </w:rPr>
              <w:t>负责胃肠镜预约事项。</w:t>
            </w:r>
          </w:p>
          <w:p w14:paraId="471FE257">
            <w:pPr>
              <w:numPr>
                <w:ilvl w:val="0"/>
                <w:numId w:val="8"/>
              </w:numPr>
              <w:ind w:left="420" w:hanging="420" w:hangingChars="200"/>
              <w:jc w:val="left"/>
              <w:rPr>
                <w:sz w:val="21"/>
                <w:szCs w:val="21"/>
              </w:rPr>
            </w:pPr>
            <w:r>
              <w:rPr>
                <w:rFonts w:hint="eastAsia"/>
                <w:sz w:val="21"/>
                <w:szCs w:val="21"/>
              </w:rPr>
              <w:t>提前为客人准备好检查胃肠镜的资料，并将所需要的申请资料提前送给专家审查，提醒客户过来检查胃肠镜并告知其预约时间和注意事项。</w:t>
            </w:r>
          </w:p>
          <w:p w14:paraId="6E0ADA2A">
            <w:pPr>
              <w:numPr>
                <w:ilvl w:val="0"/>
                <w:numId w:val="8"/>
              </w:numPr>
              <w:ind w:left="420" w:hanging="420" w:hangingChars="200"/>
              <w:jc w:val="left"/>
              <w:rPr>
                <w:sz w:val="21"/>
                <w:szCs w:val="21"/>
              </w:rPr>
            </w:pPr>
            <w:r>
              <w:rPr>
                <w:rFonts w:hint="eastAsia"/>
                <w:sz w:val="21"/>
                <w:szCs w:val="21"/>
              </w:rPr>
              <w:t>接送当天来检查胃肠镜的客人并为其安排后续工作。</w:t>
            </w:r>
          </w:p>
        </w:tc>
      </w:tr>
      <w:tr w14:paraId="4FF0C022">
        <w:trPr>
          <w:jc w:val="center"/>
        </w:trPr>
        <w:tc>
          <w:tcPr>
            <w:tcW w:w="948" w:type="dxa"/>
          </w:tcPr>
          <w:p w14:paraId="1F1F61D3">
            <w:pPr>
              <w:ind w:firstLine="210" w:firstLineChars="100"/>
              <w:rPr>
                <w:sz w:val="21"/>
                <w:szCs w:val="21"/>
              </w:rPr>
            </w:pPr>
          </w:p>
          <w:p w14:paraId="57A4E819">
            <w:pPr>
              <w:ind w:firstLine="199" w:firstLineChars="95"/>
              <w:rPr>
                <w:sz w:val="21"/>
                <w:szCs w:val="21"/>
              </w:rPr>
            </w:pPr>
            <w:r>
              <w:rPr>
                <w:rFonts w:hint="eastAsia"/>
                <w:sz w:val="21"/>
                <w:szCs w:val="21"/>
              </w:rPr>
              <w:t>7</w:t>
            </w:r>
          </w:p>
        </w:tc>
        <w:tc>
          <w:tcPr>
            <w:tcW w:w="2520" w:type="dxa"/>
          </w:tcPr>
          <w:p w14:paraId="55EBF957">
            <w:pPr>
              <w:ind w:firstLine="0" w:firstLineChars="0"/>
              <w:jc w:val="center"/>
              <w:rPr>
                <w:sz w:val="21"/>
                <w:szCs w:val="21"/>
              </w:rPr>
            </w:pPr>
          </w:p>
          <w:p w14:paraId="3987369E">
            <w:pPr>
              <w:ind w:firstLine="0" w:firstLineChars="0"/>
              <w:jc w:val="center"/>
              <w:rPr>
                <w:sz w:val="21"/>
                <w:szCs w:val="21"/>
              </w:rPr>
            </w:pPr>
            <w:r>
              <w:rPr>
                <w:rFonts w:hint="eastAsia"/>
                <w:sz w:val="21"/>
                <w:szCs w:val="21"/>
              </w:rPr>
              <w:t>电瓶车司机</w:t>
            </w:r>
          </w:p>
        </w:tc>
        <w:tc>
          <w:tcPr>
            <w:tcW w:w="5320" w:type="dxa"/>
          </w:tcPr>
          <w:p w14:paraId="516AC1A3">
            <w:pPr>
              <w:numPr>
                <w:ilvl w:val="0"/>
                <w:numId w:val="9"/>
              </w:numPr>
              <w:ind w:left="420" w:hanging="420" w:hangingChars="200"/>
              <w:jc w:val="left"/>
              <w:rPr>
                <w:sz w:val="21"/>
                <w:szCs w:val="21"/>
              </w:rPr>
            </w:pPr>
            <w:r>
              <w:rPr>
                <w:rFonts w:hint="eastAsia"/>
                <w:sz w:val="21"/>
                <w:szCs w:val="21"/>
              </w:rPr>
              <w:t>负责每天接送康怡门诊客户往来康怡与各医院大楼。</w:t>
            </w:r>
          </w:p>
          <w:p w14:paraId="4696DD19">
            <w:pPr>
              <w:numPr>
                <w:ilvl w:val="0"/>
                <w:numId w:val="9"/>
              </w:numPr>
              <w:ind w:left="420" w:hanging="420" w:hangingChars="200"/>
              <w:jc w:val="left"/>
              <w:rPr>
                <w:sz w:val="21"/>
                <w:szCs w:val="21"/>
              </w:rPr>
            </w:pPr>
            <w:r>
              <w:rPr>
                <w:rFonts w:hint="eastAsia"/>
                <w:sz w:val="21"/>
                <w:szCs w:val="21"/>
              </w:rPr>
              <w:t>负责接送到康怡门诊出诊的专家。</w:t>
            </w:r>
          </w:p>
        </w:tc>
      </w:tr>
      <w:tr w14:paraId="539D35E7">
        <w:trPr>
          <w:jc w:val="center"/>
        </w:trPr>
        <w:tc>
          <w:tcPr>
            <w:tcW w:w="948" w:type="dxa"/>
          </w:tcPr>
          <w:p w14:paraId="43B7D36A">
            <w:pPr>
              <w:ind w:firstLine="0" w:firstLineChars="0"/>
              <w:jc w:val="center"/>
              <w:rPr>
                <w:sz w:val="21"/>
                <w:szCs w:val="21"/>
              </w:rPr>
            </w:pPr>
            <w:r>
              <w:rPr>
                <w:rFonts w:hint="eastAsia"/>
                <w:sz w:val="21"/>
                <w:szCs w:val="21"/>
              </w:rPr>
              <w:t>8</w:t>
            </w:r>
          </w:p>
        </w:tc>
        <w:tc>
          <w:tcPr>
            <w:tcW w:w="2520" w:type="dxa"/>
          </w:tcPr>
          <w:p w14:paraId="2862111B">
            <w:pPr>
              <w:ind w:firstLine="0" w:firstLineChars="0"/>
              <w:jc w:val="center"/>
              <w:rPr>
                <w:sz w:val="21"/>
                <w:szCs w:val="21"/>
              </w:rPr>
            </w:pPr>
            <w:r>
              <w:rPr>
                <w:rFonts w:hint="eastAsia"/>
                <w:sz w:val="21"/>
                <w:szCs w:val="21"/>
              </w:rPr>
              <w:t>导诊人员</w:t>
            </w:r>
          </w:p>
        </w:tc>
        <w:tc>
          <w:tcPr>
            <w:tcW w:w="5320" w:type="dxa"/>
          </w:tcPr>
          <w:p w14:paraId="0CAD6EA5">
            <w:pPr>
              <w:ind w:firstLine="0" w:firstLineChars="0"/>
              <w:jc w:val="left"/>
              <w:rPr>
                <w:sz w:val="21"/>
                <w:szCs w:val="21"/>
              </w:rPr>
            </w:pPr>
            <w:r>
              <w:rPr>
                <w:rFonts w:hint="eastAsia"/>
                <w:sz w:val="21"/>
                <w:szCs w:val="21"/>
              </w:rPr>
              <w:t>服从上级安排，每天为到来就诊或体检的客户提供导诊服务。</w:t>
            </w:r>
          </w:p>
        </w:tc>
      </w:tr>
    </w:tbl>
    <w:p w14:paraId="3C269764">
      <w:pPr>
        <w:spacing w:line="324" w:lineRule="auto"/>
        <w:ind w:firstLine="0" w:firstLineChars="0"/>
        <w:rPr>
          <w:rFonts w:ascii="宋体" w:eastAsia="宋体"/>
          <w:b/>
          <w:color w:val="000000"/>
          <w:sz w:val="21"/>
          <w:szCs w:val="21"/>
        </w:rPr>
      </w:pPr>
    </w:p>
    <w:p w14:paraId="497B3629">
      <w:pPr>
        <w:spacing w:line="324" w:lineRule="auto"/>
        <w:ind w:firstLine="0" w:firstLineChars="0"/>
        <w:rPr>
          <w:rFonts w:ascii="宋体" w:eastAsia="宋体"/>
          <w:b/>
          <w:color w:val="000000"/>
          <w:sz w:val="21"/>
          <w:szCs w:val="21"/>
        </w:rPr>
      </w:pPr>
    </w:p>
    <w:p w14:paraId="0F7C81D1">
      <w:pPr>
        <w:spacing w:line="324" w:lineRule="auto"/>
        <w:ind w:firstLine="0" w:firstLineChars="0"/>
        <w:rPr>
          <w:rFonts w:ascii="宋体" w:eastAsia="宋体"/>
          <w:b/>
          <w:color w:val="000000"/>
          <w:sz w:val="21"/>
          <w:szCs w:val="21"/>
        </w:rPr>
      </w:pPr>
    </w:p>
    <w:p w14:paraId="5EBA8D36">
      <w:pPr>
        <w:spacing w:line="324" w:lineRule="auto"/>
        <w:ind w:firstLine="0" w:firstLineChars="0"/>
        <w:rPr>
          <w:rFonts w:ascii="宋体" w:eastAsia="宋体"/>
          <w:b/>
          <w:color w:val="000000"/>
          <w:sz w:val="21"/>
          <w:szCs w:val="21"/>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E42B9">
    <w:pPr>
      <w:pStyle w:val="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F2531">
    <w:pPr>
      <w:pStyle w:val="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84575">
    <w:pPr>
      <w:pStyle w:val="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560"/>
      </w:pPr>
      <w:r>
        <w:separator/>
      </w:r>
    </w:p>
  </w:footnote>
  <w:footnote w:type="continuationSeparator" w:id="1">
    <w:p>
      <w:pPr>
        <w:spacing w:line="24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C2718">
    <w:pPr>
      <w:pStyle w:val="4"/>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7E3D5">
    <w:pPr>
      <w:pStyle w:val="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28ADE0">
    <w:pPr>
      <w:pStyle w:val="4"/>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81F230F"/>
    <w:multiLevelType w:val="multilevel"/>
    <w:tmpl w:val="481F230F"/>
    <w:lvl w:ilvl="0" w:tentative="0">
      <w:start w:val="1"/>
      <w:numFmt w:val="japaneseCounting"/>
      <w:lvlText w:val="%1、"/>
      <w:lvlJc w:val="left"/>
      <w:pPr>
        <w:tabs>
          <w:tab w:val="left" w:pos="1287"/>
        </w:tabs>
        <w:ind w:left="1287" w:hanging="720"/>
      </w:pPr>
      <w:rPr>
        <w:rFonts w:hint="default" w:cs="Times New Roman"/>
      </w:rPr>
    </w:lvl>
    <w:lvl w:ilvl="1" w:tentative="0">
      <w:start w:val="1"/>
      <w:numFmt w:val="lowerLetter"/>
      <w:lvlText w:val="%2)"/>
      <w:lvlJc w:val="left"/>
      <w:pPr>
        <w:tabs>
          <w:tab w:val="left" w:pos="1407"/>
        </w:tabs>
        <w:ind w:left="1407" w:hanging="420"/>
      </w:pPr>
      <w:rPr>
        <w:rFonts w:cs="Times New Roman"/>
      </w:rPr>
    </w:lvl>
    <w:lvl w:ilvl="2" w:tentative="0">
      <w:start w:val="1"/>
      <w:numFmt w:val="lowerRoman"/>
      <w:lvlText w:val="%3."/>
      <w:lvlJc w:val="right"/>
      <w:pPr>
        <w:tabs>
          <w:tab w:val="left" w:pos="1827"/>
        </w:tabs>
        <w:ind w:left="1827" w:hanging="420"/>
      </w:pPr>
      <w:rPr>
        <w:rFonts w:cs="Times New Roman"/>
      </w:rPr>
    </w:lvl>
    <w:lvl w:ilvl="3" w:tentative="0">
      <w:start w:val="1"/>
      <w:numFmt w:val="decimal"/>
      <w:lvlText w:val="%4."/>
      <w:lvlJc w:val="left"/>
      <w:pPr>
        <w:tabs>
          <w:tab w:val="left" w:pos="2247"/>
        </w:tabs>
        <w:ind w:left="2247" w:hanging="420"/>
      </w:pPr>
      <w:rPr>
        <w:rFonts w:cs="Times New Roman"/>
      </w:rPr>
    </w:lvl>
    <w:lvl w:ilvl="4" w:tentative="0">
      <w:start w:val="1"/>
      <w:numFmt w:val="lowerLetter"/>
      <w:lvlText w:val="%5)"/>
      <w:lvlJc w:val="left"/>
      <w:pPr>
        <w:tabs>
          <w:tab w:val="left" w:pos="2667"/>
        </w:tabs>
        <w:ind w:left="2667" w:hanging="420"/>
      </w:pPr>
      <w:rPr>
        <w:rFonts w:cs="Times New Roman"/>
      </w:rPr>
    </w:lvl>
    <w:lvl w:ilvl="5" w:tentative="0">
      <w:start w:val="1"/>
      <w:numFmt w:val="lowerRoman"/>
      <w:lvlText w:val="%6."/>
      <w:lvlJc w:val="right"/>
      <w:pPr>
        <w:tabs>
          <w:tab w:val="left" w:pos="3087"/>
        </w:tabs>
        <w:ind w:left="3087" w:hanging="420"/>
      </w:pPr>
      <w:rPr>
        <w:rFonts w:cs="Times New Roman"/>
      </w:rPr>
    </w:lvl>
    <w:lvl w:ilvl="6" w:tentative="0">
      <w:start w:val="1"/>
      <w:numFmt w:val="decimal"/>
      <w:lvlText w:val="%7."/>
      <w:lvlJc w:val="left"/>
      <w:pPr>
        <w:tabs>
          <w:tab w:val="left" w:pos="3507"/>
        </w:tabs>
        <w:ind w:left="3507" w:hanging="420"/>
      </w:pPr>
      <w:rPr>
        <w:rFonts w:cs="Times New Roman"/>
      </w:rPr>
    </w:lvl>
    <w:lvl w:ilvl="7" w:tentative="0">
      <w:start w:val="1"/>
      <w:numFmt w:val="lowerLetter"/>
      <w:lvlText w:val="%8)"/>
      <w:lvlJc w:val="left"/>
      <w:pPr>
        <w:tabs>
          <w:tab w:val="left" w:pos="3927"/>
        </w:tabs>
        <w:ind w:left="3927" w:hanging="420"/>
      </w:pPr>
      <w:rPr>
        <w:rFonts w:cs="Times New Roman"/>
      </w:rPr>
    </w:lvl>
    <w:lvl w:ilvl="8" w:tentative="0">
      <w:start w:val="1"/>
      <w:numFmt w:val="lowerRoman"/>
      <w:lvlText w:val="%9."/>
      <w:lvlJc w:val="right"/>
      <w:pPr>
        <w:tabs>
          <w:tab w:val="left" w:pos="4347"/>
        </w:tabs>
        <w:ind w:left="4347" w:hanging="420"/>
      </w:pPr>
      <w:rPr>
        <w:rFonts w:cs="Times New Roman"/>
      </w:rPr>
    </w:lvl>
  </w:abstractNum>
  <w:abstractNum w:abstractNumId="1">
    <w:nsid w:val="512B12FC"/>
    <w:multiLevelType w:val="multilevel"/>
    <w:tmpl w:val="512B12FC"/>
    <w:lvl w:ilvl="0" w:tentative="0">
      <w:start w:val="1"/>
      <w:numFmt w:val="decimal"/>
      <w:lvlText w:val="%1，"/>
      <w:lvlJc w:val="left"/>
      <w:pPr>
        <w:ind w:left="1287" w:hanging="720"/>
      </w:pPr>
      <w:rPr>
        <w:rFonts w:hint="default" w:cs="Times New Roman"/>
        <w:b/>
      </w:rPr>
    </w:lvl>
    <w:lvl w:ilvl="1" w:tentative="0">
      <w:start w:val="1"/>
      <w:numFmt w:val="lowerLetter"/>
      <w:lvlText w:val="%2)"/>
      <w:lvlJc w:val="left"/>
      <w:pPr>
        <w:ind w:left="1407" w:hanging="420"/>
      </w:pPr>
      <w:rPr>
        <w:rFonts w:cs="Times New Roman"/>
      </w:rPr>
    </w:lvl>
    <w:lvl w:ilvl="2" w:tentative="0">
      <w:start w:val="1"/>
      <w:numFmt w:val="lowerRoman"/>
      <w:lvlText w:val="%3."/>
      <w:lvlJc w:val="right"/>
      <w:pPr>
        <w:ind w:left="1827" w:hanging="420"/>
      </w:pPr>
      <w:rPr>
        <w:rFonts w:cs="Times New Roman"/>
      </w:rPr>
    </w:lvl>
    <w:lvl w:ilvl="3" w:tentative="0">
      <w:start w:val="1"/>
      <w:numFmt w:val="decimal"/>
      <w:lvlText w:val="%4."/>
      <w:lvlJc w:val="left"/>
      <w:pPr>
        <w:ind w:left="2247" w:hanging="420"/>
      </w:pPr>
      <w:rPr>
        <w:rFonts w:cs="Times New Roman"/>
      </w:rPr>
    </w:lvl>
    <w:lvl w:ilvl="4" w:tentative="0">
      <w:start w:val="1"/>
      <w:numFmt w:val="lowerLetter"/>
      <w:lvlText w:val="%5)"/>
      <w:lvlJc w:val="left"/>
      <w:pPr>
        <w:ind w:left="2667" w:hanging="420"/>
      </w:pPr>
      <w:rPr>
        <w:rFonts w:cs="Times New Roman"/>
      </w:rPr>
    </w:lvl>
    <w:lvl w:ilvl="5" w:tentative="0">
      <w:start w:val="1"/>
      <w:numFmt w:val="lowerRoman"/>
      <w:lvlText w:val="%6."/>
      <w:lvlJc w:val="right"/>
      <w:pPr>
        <w:ind w:left="3087" w:hanging="420"/>
      </w:pPr>
      <w:rPr>
        <w:rFonts w:cs="Times New Roman"/>
      </w:rPr>
    </w:lvl>
    <w:lvl w:ilvl="6" w:tentative="0">
      <w:start w:val="1"/>
      <w:numFmt w:val="decimal"/>
      <w:lvlText w:val="%7."/>
      <w:lvlJc w:val="left"/>
      <w:pPr>
        <w:ind w:left="3507" w:hanging="420"/>
      </w:pPr>
      <w:rPr>
        <w:rFonts w:cs="Times New Roman"/>
      </w:rPr>
    </w:lvl>
    <w:lvl w:ilvl="7" w:tentative="0">
      <w:start w:val="1"/>
      <w:numFmt w:val="lowerLetter"/>
      <w:lvlText w:val="%8)"/>
      <w:lvlJc w:val="left"/>
      <w:pPr>
        <w:ind w:left="3927" w:hanging="420"/>
      </w:pPr>
      <w:rPr>
        <w:rFonts w:cs="Times New Roman"/>
      </w:rPr>
    </w:lvl>
    <w:lvl w:ilvl="8" w:tentative="0">
      <w:start w:val="1"/>
      <w:numFmt w:val="lowerRoman"/>
      <w:lvlText w:val="%9."/>
      <w:lvlJc w:val="right"/>
      <w:pPr>
        <w:ind w:left="4347" w:hanging="420"/>
      </w:pPr>
      <w:rPr>
        <w:rFonts w:cs="Times New Roman"/>
      </w:rPr>
    </w:lvl>
  </w:abstractNum>
  <w:abstractNum w:abstractNumId="2">
    <w:nsid w:val="55939170"/>
    <w:multiLevelType w:val="singleLevel"/>
    <w:tmpl w:val="55939170"/>
    <w:lvl w:ilvl="0" w:tentative="0">
      <w:start w:val="1"/>
      <w:numFmt w:val="decimal"/>
      <w:suff w:val="nothing"/>
      <w:lvlText w:val="%1）"/>
      <w:lvlJc w:val="left"/>
      <w:rPr>
        <w:rFonts w:cs="Times New Roman"/>
      </w:rPr>
    </w:lvl>
  </w:abstractNum>
  <w:abstractNum w:abstractNumId="3">
    <w:nsid w:val="55939880"/>
    <w:multiLevelType w:val="singleLevel"/>
    <w:tmpl w:val="55939880"/>
    <w:lvl w:ilvl="0" w:tentative="0">
      <w:start w:val="1"/>
      <w:numFmt w:val="decimal"/>
      <w:suff w:val="nothing"/>
      <w:lvlText w:val="%1）"/>
      <w:lvlJc w:val="left"/>
      <w:rPr>
        <w:rFonts w:cs="Times New Roman"/>
      </w:rPr>
    </w:lvl>
  </w:abstractNum>
  <w:abstractNum w:abstractNumId="4">
    <w:nsid w:val="55939C72"/>
    <w:multiLevelType w:val="singleLevel"/>
    <w:tmpl w:val="55939C72"/>
    <w:lvl w:ilvl="0" w:tentative="0">
      <w:start w:val="1"/>
      <w:numFmt w:val="decimal"/>
      <w:suff w:val="nothing"/>
      <w:lvlText w:val="%1）"/>
      <w:lvlJc w:val="left"/>
      <w:rPr>
        <w:rFonts w:cs="Times New Roman"/>
      </w:rPr>
    </w:lvl>
  </w:abstractNum>
  <w:abstractNum w:abstractNumId="5">
    <w:nsid w:val="5593A127"/>
    <w:multiLevelType w:val="singleLevel"/>
    <w:tmpl w:val="5593A127"/>
    <w:lvl w:ilvl="0" w:tentative="0">
      <w:start w:val="1"/>
      <w:numFmt w:val="decimal"/>
      <w:suff w:val="nothing"/>
      <w:lvlText w:val="%1）"/>
      <w:lvlJc w:val="left"/>
      <w:rPr>
        <w:rFonts w:cs="Times New Roman"/>
      </w:rPr>
    </w:lvl>
  </w:abstractNum>
  <w:abstractNum w:abstractNumId="6">
    <w:nsid w:val="5593A191"/>
    <w:multiLevelType w:val="singleLevel"/>
    <w:tmpl w:val="5593A191"/>
    <w:lvl w:ilvl="0" w:tentative="0">
      <w:start w:val="1"/>
      <w:numFmt w:val="decimal"/>
      <w:suff w:val="nothing"/>
      <w:lvlText w:val="%1）"/>
      <w:lvlJc w:val="left"/>
      <w:rPr>
        <w:rFonts w:cs="Times New Roman"/>
      </w:rPr>
    </w:lvl>
  </w:abstractNum>
  <w:abstractNum w:abstractNumId="7">
    <w:nsid w:val="5593A4A2"/>
    <w:multiLevelType w:val="singleLevel"/>
    <w:tmpl w:val="5593A4A2"/>
    <w:lvl w:ilvl="0" w:tentative="0">
      <w:start w:val="1"/>
      <w:numFmt w:val="decimal"/>
      <w:suff w:val="nothing"/>
      <w:lvlText w:val="%1）"/>
      <w:lvlJc w:val="left"/>
      <w:rPr>
        <w:rFonts w:cs="Times New Roman"/>
      </w:rPr>
    </w:lvl>
  </w:abstractNum>
  <w:abstractNum w:abstractNumId="8">
    <w:nsid w:val="5840633E"/>
    <w:multiLevelType w:val="multilevel"/>
    <w:tmpl w:val="5840633E"/>
    <w:lvl w:ilvl="0" w:tentative="0">
      <w:start w:val="1"/>
      <w:numFmt w:val="decimal"/>
      <w:lvlText w:val="%1）"/>
      <w:lvlJc w:val="left"/>
      <w:pPr>
        <w:ind w:left="720" w:hanging="72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num w:numId="1">
    <w:abstractNumId w:val="0"/>
  </w:num>
  <w:num w:numId="2">
    <w:abstractNumId w:val="1"/>
  </w:num>
  <w:num w:numId="3">
    <w:abstractNumId w:val="7"/>
  </w:num>
  <w:num w:numId="4">
    <w:abstractNumId w:val="8"/>
  </w:num>
  <w:num w:numId="5">
    <w:abstractNumId w:val="2"/>
  </w:num>
  <w:num w:numId="6">
    <w:abstractNumId w:val="3"/>
  </w:num>
  <w:num w:numId="7">
    <w:abstractNumId w:val="6"/>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0"/>
    <w:footnote w:id="1"/>
  </w:footnotePr>
  <w:endnotePr>
    <w:endnote w:id="0"/>
    <w:endnote w:id="1"/>
  </w:endnotePr>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JiY2UzNzZmMTJlZWViNTFjZDIxOTRlZTc5OTkzNjcifQ=="/>
  </w:docVars>
  <w:rsids>
    <w:rsidRoot w:val="005553A0"/>
    <w:rsid w:val="000A37BB"/>
    <w:rsid w:val="000C5305"/>
    <w:rsid w:val="000F1A8B"/>
    <w:rsid w:val="000F20F6"/>
    <w:rsid w:val="000F69D7"/>
    <w:rsid w:val="00135CE6"/>
    <w:rsid w:val="00153FF4"/>
    <w:rsid w:val="00191F75"/>
    <w:rsid w:val="001A028E"/>
    <w:rsid w:val="001A0817"/>
    <w:rsid w:val="001A68CF"/>
    <w:rsid w:val="001C390E"/>
    <w:rsid w:val="001F2693"/>
    <w:rsid w:val="0020722E"/>
    <w:rsid w:val="00215E6D"/>
    <w:rsid w:val="00224283"/>
    <w:rsid w:val="002E6247"/>
    <w:rsid w:val="00320757"/>
    <w:rsid w:val="0033563C"/>
    <w:rsid w:val="00385AB3"/>
    <w:rsid w:val="003920ED"/>
    <w:rsid w:val="003A35FA"/>
    <w:rsid w:val="003F5D75"/>
    <w:rsid w:val="00404679"/>
    <w:rsid w:val="0046222D"/>
    <w:rsid w:val="0046764D"/>
    <w:rsid w:val="00481699"/>
    <w:rsid w:val="005012CD"/>
    <w:rsid w:val="005028A9"/>
    <w:rsid w:val="005553A0"/>
    <w:rsid w:val="00583355"/>
    <w:rsid w:val="005C639C"/>
    <w:rsid w:val="005D29A5"/>
    <w:rsid w:val="00613B9B"/>
    <w:rsid w:val="00620980"/>
    <w:rsid w:val="00631A6A"/>
    <w:rsid w:val="00642A67"/>
    <w:rsid w:val="006643F0"/>
    <w:rsid w:val="00670784"/>
    <w:rsid w:val="00681650"/>
    <w:rsid w:val="006928F2"/>
    <w:rsid w:val="006A5A15"/>
    <w:rsid w:val="006D179F"/>
    <w:rsid w:val="006D598F"/>
    <w:rsid w:val="00703314"/>
    <w:rsid w:val="007157C4"/>
    <w:rsid w:val="007A60FB"/>
    <w:rsid w:val="008171C7"/>
    <w:rsid w:val="00854DDC"/>
    <w:rsid w:val="00861607"/>
    <w:rsid w:val="0087164E"/>
    <w:rsid w:val="00880B97"/>
    <w:rsid w:val="0088476F"/>
    <w:rsid w:val="009052C2"/>
    <w:rsid w:val="00963604"/>
    <w:rsid w:val="009805A1"/>
    <w:rsid w:val="009A0756"/>
    <w:rsid w:val="009C273C"/>
    <w:rsid w:val="00A068F3"/>
    <w:rsid w:val="00A118D0"/>
    <w:rsid w:val="00A31B8F"/>
    <w:rsid w:val="00A96511"/>
    <w:rsid w:val="00AC63A9"/>
    <w:rsid w:val="00B31901"/>
    <w:rsid w:val="00B407E3"/>
    <w:rsid w:val="00B80C7D"/>
    <w:rsid w:val="00BC197E"/>
    <w:rsid w:val="00C24EBA"/>
    <w:rsid w:val="00C32BE5"/>
    <w:rsid w:val="00C34755"/>
    <w:rsid w:val="00C37924"/>
    <w:rsid w:val="00C41441"/>
    <w:rsid w:val="00C96669"/>
    <w:rsid w:val="00CA6CA4"/>
    <w:rsid w:val="00CD5C8D"/>
    <w:rsid w:val="00D001CA"/>
    <w:rsid w:val="00D202E4"/>
    <w:rsid w:val="00D542CA"/>
    <w:rsid w:val="00D72637"/>
    <w:rsid w:val="00DC18C5"/>
    <w:rsid w:val="00DE58D5"/>
    <w:rsid w:val="00DE71E2"/>
    <w:rsid w:val="00E43597"/>
    <w:rsid w:val="00E51EFC"/>
    <w:rsid w:val="00E8391A"/>
    <w:rsid w:val="00EA5BBE"/>
    <w:rsid w:val="00EF71D6"/>
    <w:rsid w:val="00F34281"/>
    <w:rsid w:val="00F55887"/>
    <w:rsid w:val="00F74CD3"/>
    <w:rsid w:val="00FD03A5"/>
    <w:rsid w:val="00FE38B7"/>
    <w:rsid w:val="03231F8E"/>
    <w:rsid w:val="1142306C"/>
    <w:rsid w:val="2E41718E"/>
    <w:rsid w:val="36A41A0C"/>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name="header"/>
    <w:lsdException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80" w:lineRule="exact"/>
      <w:ind w:firstLine="200" w:firstLineChars="200"/>
      <w:jc w:val="both"/>
    </w:pPr>
    <w:rPr>
      <w:rFonts w:ascii="仿宋_GB2312" w:hAnsi="仿宋_GB2312" w:eastAsia="仿宋_GB2312" w:cs="仿宋_GB2312"/>
      <w:kern w:val="2"/>
      <w:sz w:val="28"/>
      <w:szCs w:val="28"/>
      <w:lang w:val="en-US" w:eastAsia="zh-CN" w:bidi="ar-SA"/>
    </w:rPr>
  </w:style>
  <w:style w:type="paragraph" w:styleId="2">
    <w:name w:val="heading 1"/>
    <w:basedOn w:val="1"/>
    <w:next w:val="1"/>
    <w:link w:val="7"/>
    <w:qFormat/>
    <w:uiPriority w:val="99"/>
    <w:pPr>
      <w:keepNext/>
      <w:keepLines/>
      <w:spacing w:before="340" w:after="330" w:line="578" w:lineRule="atLeast"/>
      <w:ind w:firstLine="0" w:firstLineChars="0"/>
      <w:outlineLvl w:val="0"/>
    </w:pPr>
    <w:rPr>
      <w:b/>
      <w:bCs/>
      <w:kern w:val="44"/>
      <w:sz w:val="44"/>
      <w:szCs w:val="44"/>
    </w:rPr>
  </w:style>
  <w:style w:type="character" w:default="1" w:styleId="6">
    <w:name w:val="Default Paragraph Font"/>
    <w:semiHidden/>
    <w:unhideWhenUsed/>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3">
    <w:name w:val="footer"/>
    <w:basedOn w:val="1"/>
    <w:link w:val="11"/>
    <w:semiHidden/>
    <w:uiPriority w:val="99"/>
    <w:pPr>
      <w:tabs>
        <w:tab w:val="center" w:pos="4153"/>
        <w:tab w:val="right" w:pos="8306"/>
      </w:tabs>
      <w:snapToGrid w:val="0"/>
      <w:spacing w:line="240" w:lineRule="atLeast"/>
      <w:jc w:val="left"/>
    </w:pPr>
    <w:rPr>
      <w:sz w:val="18"/>
      <w:szCs w:val="18"/>
    </w:rPr>
  </w:style>
  <w:style w:type="paragraph" w:styleId="4">
    <w:name w:val="header"/>
    <w:basedOn w:val="1"/>
    <w:link w:val="10"/>
    <w:semiHidden/>
    <w:uiPriority w:val="99"/>
    <w:pPr>
      <w:pBdr>
        <w:bottom w:val="single" w:color="auto" w:sz="6" w:space="1"/>
      </w:pBdr>
      <w:tabs>
        <w:tab w:val="center" w:pos="4153"/>
        <w:tab w:val="right" w:pos="8306"/>
      </w:tabs>
      <w:snapToGrid w:val="0"/>
      <w:spacing w:line="240" w:lineRule="atLeast"/>
      <w:jc w:val="center"/>
    </w:pPr>
    <w:rPr>
      <w:sz w:val="18"/>
      <w:szCs w:val="18"/>
    </w:rPr>
  </w:style>
  <w:style w:type="character" w:customStyle="1" w:styleId="7">
    <w:name w:val="标题 1 Char"/>
    <w:basedOn w:val="6"/>
    <w:link w:val="2"/>
    <w:locked/>
    <w:uiPriority w:val="99"/>
    <w:rPr>
      <w:rFonts w:ascii="仿宋_GB2312" w:hAnsi="仿宋_GB2312" w:eastAsia="仿宋_GB2312" w:cs="仿宋_GB2312"/>
      <w:b/>
      <w:bCs/>
      <w:kern w:val="44"/>
      <w:sz w:val="44"/>
      <w:szCs w:val="44"/>
    </w:rPr>
  </w:style>
  <w:style w:type="paragraph" w:styleId="8">
    <w:name w:val="List Paragraph"/>
    <w:basedOn w:val="1"/>
    <w:qFormat/>
    <w:uiPriority w:val="99"/>
    <w:pPr>
      <w:ind w:firstLine="420"/>
    </w:pPr>
  </w:style>
  <w:style w:type="paragraph" w:customStyle="1" w:styleId="9">
    <w:name w:val="列出段落1"/>
    <w:basedOn w:val="1"/>
    <w:uiPriority w:val="99"/>
    <w:pPr>
      <w:ind w:firstLine="420"/>
    </w:pPr>
  </w:style>
  <w:style w:type="character" w:customStyle="1" w:styleId="10">
    <w:name w:val="页眉 Char"/>
    <w:basedOn w:val="6"/>
    <w:link w:val="4"/>
    <w:semiHidden/>
    <w:locked/>
    <w:uiPriority w:val="99"/>
    <w:rPr>
      <w:rFonts w:ascii="仿宋_GB2312" w:hAnsi="仿宋_GB2312" w:eastAsia="仿宋_GB2312" w:cs="仿宋_GB2312"/>
      <w:sz w:val="18"/>
      <w:szCs w:val="18"/>
    </w:rPr>
  </w:style>
  <w:style w:type="character" w:customStyle="1" w:styleId="11">
    <w:name w:val="页脚 Char"/>
    <w:basedOn w:val="6"/>
    <w:link w:val="3"/>
    <w:semiHidden/>
    <w:locked/>
    <w:uiPriority w:val="99"/>
    <w:rPr>
      <w:rFonts w:ascii="仿宋_GB2312" w:hAnsi="仿宋_GB2312" w:eastAsia="仿宋_GB2312" w:cs="仿宋_GB231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rmyy</Company>
  <Pages>3</Pages>
  <Words>3211</Words>
  <Characters>3234</Characters>
  <Lines>24</Lines>
  <Paragraphs>6</Paragraphs>
  <TotalTime>557</TotalTime>
  <ScaleCrop>false</ScaleCrop>
  <LinksUpToDate>false</LinksUpToDate>
  <CharactersWithSpaces>3264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2015-07-07T07:04:00Z</dcterms:created>
  <dc:creator>rmyy</dc:creator>
  <cp:lastModifiedBy>M</cp:lastModifiedBy>
  <dcterms:modified xsi:type="dcterms:W3CDTF">2026-04-24T08:44:07Z</dcterms:modified>
  <dc:title>康怡诊中心（此处是否应该写康怡门诊？）导诊服务外包服务需求书</dc:title>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2F90BC39D7A44C86AE68BA917FC8ED0A_13</vt:lpwstr>
  </property>
  <property fmtid="{D5CDD505-2E9C-101B-9397-08002B2CF9AE}" pid="4" name="KSOTemplateDocerSaveRecord">
    <vt:lpwstr>eyJoZGlkIjoiOTU1MjYwNDA2MzkxZmNjNGIyZTNjMzliMDA0OTMzZDgiLCJ1c2VySWQiOiIzOTIxMzQwODIifQ==</vt:lpwstr>
  </property>
</Properties>
</file>