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A25B7">
      <w:pPr>
        <w:pStyle w:val="8"/>
        <w:rPr>
          <w:rFonts w:hint="eastAsia" w:ascii="宋体" w:hAnsi="宋体" w:eastAsia="宋体" w:cs="宋体"/>
          <w:sz w:val="40"/>
          <w:szCs w:val="40"/>
          <w:lang w:val="en-US" w:eastAsia="zh-CN"/>
        </w:rPr>
      </w:pPr>
      <w:r>
        <w:rPr>
          <w:rFonts w:hint="eastAsia" w:ascii="宋体" w:hAnsi="宋体" w:eastAsia="宋体" w:cs="宋体"/>
          <w:sz w:val="40"/>
          <w:szCs w:val="40"/>
          <w:lang w:val="en-US" w:eastAsia="zh-CN"/>
        </w:rPr>
        <w:t>中山市人民医院市急救中心院前医疗急救</w:t>
      </w:r>
    </w:p>
    <w:p w14:paraId="2F9F09E2">
      <w:pPr>
        <w:pStyle w:val="8"/>
        <w:rPr>
          <w:rFonts w:hint="default"/>
          <w:sz w:val="40"/>
          <w:szCs w:val="40"/>
          <w:lang w:val="en-US" w:eastAsia="zh-CN"/>
        </w:rPr>
      </w:pPr>
      <w:r>
        <w:rPr>
          <w:rFonts w:hint="eastAsia" w:ascii="宋体" w:hAnsi="宋体" w:eastAsia="宋体" w:cs="宋体"/>
          <w:sz w:val="40"/>
          <w:szCs w:val="40"/>
          <w:lang w:val="en-US" w:eastAsia="zh-CN"/>
        </w:rPr>
        <w:t>呼救定位系统维保服务采购</w:t>
      </w:r>
      <w:r>
        <w:rPr>
          <w:rFonts w:hint="eastAsia" w:ascii="宋体" w:hAnsi="宋体" w:eastAsia="宋体" w:cs="宋体"/>
          <w:sz w:val="40"/>
          <w:szCs w:val="40"/>
        </w:rPr>
        <w:t>项目</w:t>
      </w:r>
      <w:r>
        <w:rPr>
          <w:rFonts w:hint="eastAsia" w:ascii="宋体" w:hAnsi="宋体" w:eastAsia="宋体" w:cs="宋体"/>
          <w:sz w:val="40"/>
          <w:szCs w:val="40"/>
          <w:lang w:val="en-US" w:eastAsia="zh-CN"/>
        </w:rPr>
        <w:t>用户需求</w:t>
      </w:r>
    </w:p>
    <w:p w14:paraId="42A18179">
      <w:pPr>
        <w:pStyle w:val="3"/>
        <w:numPr>
          <w:ilvl w:val="0"/>
          <w:numId w:val="1"/>
        </w:numPr>
        <w:bidi w:val="0"/>
        <w:rPr>
          <w:rFonts w:hint="eastAsia" w:ascii="宋体" w:hAnsi="宋体" w:eastAsia="宋体" w:cs="宋体"/>
          <w:lang w:val="en-US" w:eastAsia="zh-CN"/>
        </w:rPr>
      </w:pPr>
      <w:r>
        <w:rPr>
          <w:rFonts w:hint="eastAsia" w:ascii="宋体" w:hAnsi="宋体" w:eastAsia="宋体" w:cs="宋体"/>
          <w:lang w:val="en-US" w:eastAsia="zh-CN"/>
        </w:rPr>
        <w:t>采购清单</w:t>
      </w:r>
      <w:bookmarkStart w:id="0" w:name="_GoBack"/>
      <w:bookmarkEnd w:id="0"/>
    </w:p>
    <w:tbl>
      <w:tblPr>
        <w:tblStyle w:val="21"/>
        <w:tblW w:w="8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6"/>
        <w:gridCol w:w="2397"/>
        <w:gridCol w:w="5046"/>
      </w:tblGrid>
      <w:tr w14:paraId="407B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796" w:type="dxa"/>
            <w:tcBorders>
              <w:top w:val="single" w:color="000000" w:sz="10" w:space="0"/>
              <w:left w:val="single" w:color="000000" w:sz="10" w:space="0"/>
            </w:tcBorders>
            <w:shd w:val="clear" w:color="auto" w:fill="E8E8E8"/>
            <w:vAlign w:val="center"/>
          </w:tcPr>
          <w:p w14:paraId="6B7D2728">
            <w:pPr>
              <w:pStyle w:val="20"/>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b/>
                <w:bCs/>
                <w:spacing w:val="-5"/>
                <w:sz w:val="24"/>
                <w:szCs w:val="24"/>
              </w:rPr>
              <w:t>序号</w:t>
            </w:r>
          </w:p>
        </w:tc>
        <w:tc>
          <w:tcPr>
            <w:tcW w:w="2397" w:type="dxa"/>
            <w:tcBorders>
              <w:top w:val="single" w:color="000000" w:sz="10" w:space="0"/>
            </w:tcBorders>
            <w:shd w:val="clear" w:color="auto" w:fill="E8E8E8"/>
            <w:vAlign w:val="center"/>
          </w:tcPr>
          <w:p w14:paraId="71463861">
            <w:pPr>
              <w:pStyle w:val="20"/>
              <w:keepNext w:val="0"/>
              <w:keepLines w:val="0"/>
              <w:pageBreakBefore w:val="0"/>
              <w:widowControl w:val="0"/>
              <w:kinsoku/>
              <w:wordWrap/>
              <w:overflowPunct/>
              <w:topLinePunct w:val="0"/>
              <w:autoSpaceDE/>
              <w:autoSpaceDN/>
              <w:bidi w:val="0"/>
              <w:adjustRightInd/>
              <w:snapToGrid/>
              <w:spacing w:line="219" w:lineRule="auto"/>
              <w:ind w:left="0" w:right="0" w:firstLine="0"/>
              <w:textAlignment w:val="auto"/>
              <w:rPr>
                <w:rFonts w:hint="eastAsia" w:ascii="宋体" w:hAnsi="宋体" w:eastAsia="宋体" w:cs="宋体"/>
                <w:sz w:val="24"/>
                <w:szCs w:val="24"/>
              </w:rPr>
            </w:pPr>
            <w:r>
              <w:rPr>
                <w:rFonts w:hint="eastAsia" w:ascii="宋体" w:hAnsi="宋体" w:eastAsia="宋体" w:cs="宋体"/>
                <w:b/>
                <w:bCs/>
                <w:spacing w:val="-4"/>
                <w:sz w:val="24"/>
                <w:szCs w:val="24"/>
              </w:rPr>
              <w:t>采购名称</w:t>
            </w:r>
          </w:p>
        </w:tc>
        <w:tc>
          <w:tcPr>
            <w:tcW w:w="5046" w:type="dxa"/>
            <w:tcBorders>
              <w:top w:val="single" w:color="000000" w:sz="10" w:space="0"/>
            </w:tcBorders>
            <w:shd w:val="clear" w:color="auto" w:fill="E8E8E8"/>
            <w:vAlign w:val="center"/>
          </w:tcPr>
          <w:p w14:paraId="63300CF5">
            <w:pPr>
              <w:pStyle w:val="20"/>
              <w:keepNext w:val="0"/>
              <w:keepLines w:val="0"/>
              <w:pageBreakBefore w:val="0"/>
              <w:widowControl w:val="0"/>
              <w:kinsoku/>
              <w:wordWrap/>
              <w:overflowPunct/>
              <w:topLinePunct w:val="0"/>
              <w:autoSpaceDE/>
              <w:autoSpaceDN/>
              <w:bidi w:val="0"/>
              <w:adjustRightInd/>
              <w:snapToGrid/>
              <w:spacing w:line="219" w:lineRule="auto"/>
              <w:ind w:left="0" w:right="0" w:firstLine="0"/>
              <w:textAlignment w:val="auto"/>
              <w:rPr>
                <w:rFonts w:hint="eastAsia" w:ascii="宋体" w:hAnsi="宋体" w:eastAsia="宋体" w:cs="宋体"/>
                <w:sz w:val="24"/>
                <w:szCs w:val="24"/>
              </w:rPr>
            </w:pPr>
            <w:r>
              <w:rPr>
                <w:rFonts w:hint="eastAsia" w:ascii="宋体" w:hAnsi="宋体" w:eastAsia="宋体" w:cs="宋体"/>
                <w:b/>
                <w:bCs/>
                <w:spacing w:val="-3"/>
                <w:sz w:val="24"/>
                <w:szCs w:val="24"/>
              </w:rPr>
              <w:t>基本规格与配置要求</w:t>
            </w:r>
          </w:p>
        </w:tc>
      </w:tr>
      <w:tr w14:paraId="648A6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2" w:hRule="atLeast"/>
          <w:jc w:val="center"/>
        </w:trPr>
        <w:tc>
          <w:tcPr>
            <w:tcW w:w="796" w:type="dxa"/>
            <w:tcBorders>
              <w:left w:val="single" w:color="000000" w:sz="10" w:space="0"/>
            </w:tcBorders>
            <w:vAlign w:val="center"/>
          </w:tcPr>
          <w:p w14:paraId="16BEED58">
            <w:pPr>
              <w:keepNext w:val="0"/>
              <w:keepLines w:val="0"/>
              <w:pageBreakBefore w:val="0"/>
              <w:widowControl w:val="0"/>
              <w:kinsoku/>
              <w:wordWrap/>
              <w:overflowPunct/>
              <w:topLinePunct w:val="0"/>
              <w:autoSpaceDE/>
              <w:autoSpaceDN/>
              <w:bidi w:val="0"/>
              <w:adjustRightInd/>
              <w:snapToGrid/>
              <w:spacing w:line="309" w:lineRule="auto"/>
              <w:ind w:left="0" w:right="0" w:firstLine="0"/>
              <w:jc w:val="center"/>
              <w:textAlignment w:val="auto"/>
              <w:rPr>
                <w:rFonts w:hint="eastAsia" w:ascii="宋体" w:hAnsi="宋体" w:eastAsia="宋体" w:cs="宋体"/>
                <w:sz w:val="24"/>
                <w:szCs w:val="24"/>
              </w:rPr>
            </w:pPr>
          </w:p>
          <w:p w14:paraId="1F916C32">
            <w:pPr>
              <w:pStyle w:val="20"/>
              <w:keepNext w:val="0"/>
              <w:keepLines w:val="0"/>
              <w:pageBreakBefore w:val="0"/>
              <w:widowControl w:val="0"/>
              <w:kinsoku/>
              <w:wordWrap/>
              <w:overflowPunct/>
              <w:topLinePunct w:val="0"/>
              <w:autoSpaceDE/>
              <w:autoSpaceDN/>
              <w:bidi w:val="0"/>
              <w:adjustRightInd/>
              <w:snapToGrid/>
              <w:spacing w:line="241"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97" w:type="dxa"/>
            <w:vAlign w:val="center"/>
          </w:tcPr>
          <w:p w14:paraId="1521DD05">
            <w:pPr>
              <w:pStyle w:val="8"/>
              <w:rPr>
                <w:rFonts w:hint="default"/>
                <w:b w:val="0"/>
                <w:bCs w:val="0"/>
                <w:lang w:val="en-US" w:eastAsia="zh-CN"/>
              </w:rPr>
            </w:pPr>
            <w:r>
              <w:rPr>
                <w:rFonts w:hint="eastAsia" w:ascii="宋体" w:hAnsi="宋体" w:eastAsia="宋体" w:cs="宋体"/>
                <w:b w:val="0"/>
                <w:bCs w:val="0"/>
                <w:sz w:val="24"/>
                <w:szCs w:val="24"/>
                <w:lang w:val="en-US" w:eastAsia="zh-CN"/>
              </w:rPr>
              <w:t>市急救中心院前医疗急救呼救定位系统维保服务</w:t>
            </w:r>
          </w:p>
          <w:p w14:paraId="61270210">
            <w:pPr>
              <w:pStyle w:val="20"/>
              <w:keepNext w:val="0"/>
              <w:keepLines w:val="0"/>
              <w:pageBreakBefore w:val="0"/>
              <w:widowControl w:val="0"/>
              <w:kinsoku/>
              <w:wordWrap/>
              <w:overflowPunct/>
              <w:topLinePunct w:val="0"/>
              <w:autoSpaceDE/>
              <w:autoSpaceDN/>
              <w:bidi w:val="0"/>
              <w:adjustRightInd/>
              <w:snapToGrid/>
              <w:spacing w:line="288" w:lineRule="auto"/>
              <w:ind w:left="0" w:right="0" w:firstLine="0"/>
              <w:textAlignment w:val="auto"/>
              <w:rPr>
                <w:rFonts w:hint="eastAsia" w:ascii="宋体" w:hAnsi="宋体" w:eastAsia="宋体" w:cs="宋体"/>
                <w:sz w:val="24"/>
                <w:szCs w:val="24"/>
              </w:rPr>
            </w:pPr>
          </w:p>
        </w:tc>
        <w:tc>
          <w:tcPr>
            <w:tcW w:w="5046" w:type="dxa"/>
            <w:vAlign w:val="top"/>
          </w:tcPr>
          <w:p w14:paraId="45646276">
            <w:pPr>
              <w:pStyle w:val="20"/>
              <w:keepNext w:val="0"/>
              <w:keepLines w:val="0"/>
              <w:pageBreakBefore w:val="0"/>
              <w:widowControl w:val="0"/>
              <w:kinsoku/>
              <w:wordWrap/>
              <w:overflowPunct/>
              <w:topLinePunct w:val="0"/>
              <w:autoSpaceDE/>
              <w:autoSpaceDN/>
              <w:bidi w:val="0"/>
              <w:adjustRightInd/>
              <w:snapToGrid/>
              <w:spacing w:line="290" w:lineRule="auto"/>
              <w:ind w:left="0" w:right="0" w:firstLine="0"/>
              <w:textAlignment w:val="auto"/>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负责院前医疗急救呼救定位系统平台相关硬件设备运维，含信令采集器、DDF架等机房配套设施，需兼容SS7、ISDN等多种信令类型，保障硬件稳定运行。</w:t>
            </w:r>
          </w:p>
        </w:tc>
      </w:tr>
      <w:tr w14:paraId="7794D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7" w:hRule="atLeast"/>
          <w:jc w:val="center"/>
        </w:trPr>
        <w:tc>
          <w:tcPr>
            <w:tcW w:w="796" w:type="dxa"/>
            <w:tcBorders>
              <w:left w:val="single" w:color="000000" w:sz="10" w:space="0"/>
            </w:tcBorders>
            <w:vAlign w:val="center"/>
          </w:tcPr>
          <w:p w14:paraId="30B8B211">
            <w:pPr>
              <w:pStyle w:val="20"/>
              <w:keepNext w:val="0"/>
              <w:keepLines w:val="0"/>
              <w:pageBreakBefore w:val="0"/>
              <w:widowControl w:val="0"/>
              <w:kinsoku/>
              <w:wordWrap/>
              <w:overflowPunct/>
              <w:topLinePunct w:val="0"/>
              <w:autoSpaceDE/>
              <w:autoSpaceDN/>
              <w:bidi w:val="0"/>
              <w:adjustRightInd/>
              <w:snapToGrid/>
              <w:spacing w:line="241" w:lineRule="auto"/>
              <w:ind w:left="0" w:righ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397" w:type="dxa"/>
            <w:vAlign w:val="center"/>
          </w:tcPr>
          <w:p w14:paraId="1E8B14B3">
            <w:pPr>
              <w:pStyle w:val="20"/>
              <w:keepNext w:val="0"/>
              <w:keepLines w:val="0"/>
              <w:pageBreakBefore w:val="0"/>
              <w:widowControl w:val="0"/>
              <w:kinsoku/>
              <w:wordWrap/>
              <w:overflowPunct/>
              <w:topLinePunct w:val="0"/>
              <w:autoSpaceDE/>
              <w:autoSpaceDN/>
              <w:bidi w:val="0"/>
              <w:adjustRightInd/>
              <w:snapToGrid/>
              <w:spacing w:line="288" w:lineRule="auto"/>
              <w:ind w:left="0" w:right="0" w:firstLine="0"/>
              <w:textAlignment w:val="auto"/>
              <w:rPr>
                <w:rFonts w:hint="eastAsia" w:ascii="宋体" w:hAnsi="宋体" w:eastAsia="宋体" w:cs="宋体"/>
                <w:spacing w:val="-4"/>
                <w:sz w:val="24"/>
                <w:szCs w:val="24"/>
              </w:rPr>
            </w:pPr>
            <w:r>
              <w:rPr>
                <w:rFonts w:hint="eastAsia" w:ascii="宋体" w:hAnsi="宋体" w:eastAsia="宋体" w:cs="宋体"/>
                <w:spacing w:val="-4"/>
                <w:sz w:val="24"/>
                <w:szCs w:val="24"/>
              </w:rPr>
              <w:t>院前医疗急救呼救定位系统平台软件运行维护服务</w:t>
            </w:r>
          </w:p>
        </w:tc>
        <w:tc>
          <w:tcPr>
            <w:tcW w:w="5046" w:type="dxa"/>
            <w:vAlign w:val="top"/>
          </w:tcPr>
          <w:p w14:paraId="1FAB6AA1">
            <w:pPr>
              <w:pStyle w:val="20"/>
              <w:keepNext w:val="0"/>
              <w:keepLines w:val="0"/>
              <w:pageBreakBefore w:val="0"/>
              <w:widowControl w:val="0"/>
              <w:kinsoku/>
              <w:wordWrap/>
              <w:overflowPunct/>
              <w:topLinePunct w:val="0"/>
              <w:autoSpaceDE/>
              <w:autoSpaceDN/>
              <w:bidi w:val="0"/>
              <w:adjustRightInd/>
              <w:snapToGrid/>
              <w:spacing w:line="290" w:lineRule="auto"/>
              <w:ind w:left="0" w:right="0" w:firstLine="0"/>
              <w:textAlignment w:val="auto"/>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负责定位查询平台、定位代理平台、运维监控平台等相关软件运维，含调度系统接口对接、基础运营商位置数据接口维护，保障软件系统正常运行、定位功能稳定，支持7×24小时运行监控及故障告警。</w:t>
            </w:r>
          </w:p>
        </w:tc>
      </w:tr>
      <w:tr w14:paraId="1709A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atLeast"/>
          <w:jc w:val="center"/>
        </w:trPr>
        <w:tc>
          <w:tcPr>
            <w:tcW w:w="796" w:type="dxa"/>
            <w:tcBorders>
              <w:left w:val="single" w:color="000000" w:sz="10" w:space="0"/>
              <w:bottom w:val="single" w:color="000000" w:sz="10" w:space="0"/>
            </w:tcBorders>
            <w:vAlign w:val="center"/>
          </w:tcPr>
          <w:p w14:paraId="60652162">
            <w:pPr>
              <w:pStyle w:val="20"/>
              <w:keepNext w:val="0"/>
              <w:keepLines w:val="0"/>
              <w:pageBreakBefore w:val="0"/>
              <w:widowControl w:val="0"/>
              <w:kinsoku/>
              <w:wordWrap/>
              <w:overflowPunct/>
              <w:topLinePunct w:val="0"/>
              <w:autoSpaceDE/>
              <w:autoSpaceDN/>
              <w:bidi w:val="0"/>
              <w:adjustRightInd/>
              <w:snapToGrid/>
              <w:spacing w:line="241" w:lineRule="auto"/>
              <w:ind w:left="0" w:right="0" w:firstLine="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397" w:type="dxa"/>
            <w:tcBorders>
              <w:bottom w:val="single" w:color="000000" w:sz="10" w:space="0"/>
            </w:tcBorders>
            <w:vAlign w:val="center"/>
          </w:tcPr>
          <w:p w14:paraId="245191A2">
            <w:pPr>
              <w:pStyle w:val="20"/>
              <w:keepNext w:val="0"/>
              <w:keepLines w:val="0"/>
              <w:pageBreakBefore w:val="0"/>
              <w:widowControl w:val="0"/>
              <w:kinsoku/>
              <w:wordWrap/>
              <w:overflowPunct/>
              <w:topLinePunct w:val="0"/>
              <w:autoSpaceDE/>
              <w:autoSpaceDN/>
              <w:bidi w:val="0"/>
              <w:adjustRightInd/>
              <w:snapToGrid/>
              <w:spacing w:line="290" w:lineRule="auto"/>
              <w:ind w:left="0" w:right="0" w:firstLine="0"/>
              <w:textAlignment w:val="auto"/>
              <w:rPr>
                <w:rFonts w:hint="eastAsia" w:ascii="宋体" w:hAnsi="宋体" w:eastAsia="宋体" w:cs="宋体"/>
                <w:sz w:val="24"/>
                <w:szCs w:val="24"/>
              </w:rPr>
            </w:pPr>
            <w:r>
              <w:rPr>
                <w:rFonts w:hint="eastAsia" w:ascii="宋体" w:hAnsi="宋体" w:eastAsia="宋体" w:cs="宋体"/>
                <w:spacing w:val="-4"/>
                <w:sz w:val="24"/>
                <w:szCs w:val="24"/>
              </w:rPr>
              <w:t>120</w:t>
            </w:r>
            <w:r>
              <w:rPr>
                <w:rFonts w:hint="eastAsia" w:ascii="宋体" w:hAnsi="宋体" w:eastAsia="宋体" w:cs="宋体"/>
                <w:spacing w:val="-53"/>
                <w:sz w:val="24"/>
                <w:szCs w:val="24"/>
              </w:rPr>
              <w:t xml:space="preserve"> </w:t>
            </w:r>
            <w:r>
              <w:rPr>
                <w:rFonts w:hint="eastAsia" w:ascii="宋体" w:hAnsi="宋体" w:eastAsia="宋体" w:cs="宋体"/>
                <w:spacing w:val="-4"/>
                <w:sz w:val="24"/>
                <w:szCs w:val="24"/>
              </w:rPr>
              <w:t>报警定位能力</w:t>
            </w:r>
            <w:r>
              <w:rPr>
                <w:rFonts w:hint="eastAsia" w:ascii="宋体" w:hAnsi="宋体" w:eastAsia="宋体" w:cs="宋体"/>
                <w:spacing w:val="-2"/>
                <w:sz w:val="24"/>
                <w:szCs w:val="24"/>
              </w:rPr>
              <w:t>和定位数据服务</w:t>
            </w:r>
          </w:p>
        </w:tc>
        <w:tc>
          <w:tcPr>
            <w:tcW w:w="5046" w:type="dxa"/>
            <w:tcBorders>
              <w:bottom w:val="single" w:color="000000" w:sz="10" w:space="0"/>
            </w:tcBorders>
            <w:vAlign w:val="center"/>
          </w:tcPr>
          <w:p w14:paraId="038A2F52">
            <w:pPr>
              <w:pStyle w:val="20"/>
              <w:keepNext w:val="0"/>
              <w:keepLines w:val="0"/>
              <w:pageBreakBefore w:val="0"/>
              <w:widowControl w:val="0"/>
              <w:kinsoku/>
              <w:wordWrap/>
              <w:overflowPunct/>
              <w:topLinePunct w:val="0"/>
              <w:autoSpaceDE/>
              <w:autoSpaceDN/>
              <w:bidi w:val="0"/>
              <w:adjustRightInd/>
              <w:snapToGrid/>
              <w:spacing w:line="290" w:lineRule="auto"/>
              <w:ind w:left="0" w:right="0" w:firstLine="0"/>
              <w:textAlignment w:val="auto"/>
              <w:rPr>
                <w:rFonts w:hint="eastAsia" w:ascii="宋体" w:hAnsi="宋体" w:eastAsia="宋体" w:cs="宋体"/>
                <w:sz w:val="24"/>
                <w:szCs w:val="24"/>
              </w:rPr>
            </w:pPr>
            <w:r>
              <w:rPr>
                <w:rFonts w:hint="eastAsia" w:ascii="宋体" w:hAnsi="宋体" w:eastAsia="宋体" w:cs="宋体"/>
                <w:spacing w:val="4"/>
                <w:sz w:val="24"/>
                <w:szCs w:val="24"/>
              </w:rPr>
              <w:t>提供优化后的基础运营商定位数据、手</w:t>
            </w:r>
            <w:r>
              <w:rPr>
                <w:rFonts w:hint="eastAsia" w:ascii="宋体" w:hAnsi="宋体" w:eastAsia="宋体" w:cs="宋体"/>
                <w:spacing w:val="-5"/>
                <w:sz w:val="24"/>
                <w:szCs w:val="24"/>
              </w:rPr>
              <w:t>机高精度定位数据。</w:t>
            </w:r>
          </w:p>
        </w:tc>
      </w:tr>
    </w:tbl>
    <w:p w14:paraId="16A87D0E">
      <w:pPr>
        <w:rPr>
          <w:rFonts w:hint="eastAsia" w:ascii="宋体" w:hAnsi="宋体" w:eastAsia="宋体" w:cs="宋体"/>
          <w:lang w:val="en-US" w:eastAsia="zh-CN"/>
        </w:rPr>
      </w:pPr>
    </w:p>
    <w:p w14:paraId="5BE80004">
      <w:pPr>
        <w:pStyle w:val="3"/>
        <w:numPr>
          <w:ilvl w:val="0"/>
          <w:numId w:val="1"/>
        </w:numPr>
        <w:bidi w:val="0"/>
        <w:rPr>
          <w:rFonts w:hint="default" w:ascii="宋体" w:hAnsi="宋体" w:eastAsia="宋体" w:cs="宋体"/>
          <w:lang w:val="en-US" w:eastAsia="zh-CN"/>
        </w:rPr>
      </w:pPr>
      <w:r>
        <w:rPr>
          <w:rFonts w:hint="eastAsia" w:ascii="宋体" w:hAnsi="宋体" w:eastAsia="宋体" w:cs="宋体"/>
          <w:lang w:val="en-US" w:eastAsia="zh-CN"/>
        </w:rPr>
        <w:t>项目服务时间</w:t>
      </w:r>
    </w:p>
    <w:p w14:paraId="31236DF6">
      <w:pPr>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合同签订生效之日起至2027年6月30日</w:t>
      </w:r>
    </w:p>
    <w:p w14:paraId="3210F057">
      <w:pPr>
        <w:pStyle w:val="3"/>
        <w:numPr>
          <w:ilvl w:val="0"/>
          <w:numId w:val="1"/>
        </w:numPr>
        <w:bidi w:val="0"/>
        <w:rPr>
          <w:rFonts w:hint="eastAsia" w:ascii="宋体" w:hAnsi="宋体" w:eastAsia="宋体" w:cs="宋体"/>
          <w:lang w:val="en-US" w:eastAsia="zh-CN"/>
        </w:rPr>
      </w:pPr>
      <w:r>
        <w:rPr>
          <w:rFonts w:hint="eastAsia" w:ascii="宋体" w:hAnsi="宋体" w:eastAsia="宋体" w:cs="宋体"/>
          <w:lang w:val="en-US" w:eastAsia="zh-CN"/>
        </w:rPr>
        <w:t>项目背景与目标</w:t>
      </w:r>
    </w:p>
    <w:p w14:paraId="3B1DB8E0">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为深入贯彻落实国务院关于促进“互联网+医疗健康”的指导意见，国家卫生健康委、工信部联合印发《关于进一步完善“互联网+医疗健康”支撑体系 开展院前医疗急救呼救定位试点工作的通知》精神，积极开展院前医疗急救呼救定位服务，采购人通过建设120报警定位系统，在接到呼救电话时，尽快获取呼救者的位置信息，以便制定最佳的援救方案，为急危重伤病员的救治赢取宝贵时间。</w:t>
      </w:r>
    </w:p>
    <w:p w14:paraId="1EFEC1A2">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确保接下来项目的安全、稳定运行，将继续组织专业的运维团队，通过完善的运维管理机制，集中对平台和服务器等硬件设备，以及操作系统、数据库等软件进行有偿维护，明确以事件管理、问题管理、变更管理和配置管理等环节为基础的运维服务流程。</w:t>
      </w:r>
    </w:p>
    <w:p w14:paraId="1C4C4646">
      <w:pPr>
        <w:pStyle w:val="3"/>
        <w:numPr>
          <w:ilvl w:val="0"/>
          <w:numId w:val="1"/>
        </w:numPr>
        <w:bidi w:val="0"/>
        <w:rPr>
          <w:rFonts w:hint="eastAsia" w:ascii="宋体" w:hAnsi="宋体" w:eastAsia="宋体" w:cs="宋体"/>
          <w:lang w:val="en-US" w:eastAsia="zh-CN"/>
        </w:rPr>
      </w:pPr>
      <w:r>
        <w:rPr>
          <w:rFonts w:hint="eastAsia" w:ascii="宋体" w:hAnsi="宋体" w:eastAsia="宋体" w:cs="宋体"/>
          <w:lang w:val="en-US" w:eastAsia="zh-CN"/>
        </w:rPr>
        <w:t>运维服务内容</w:t>
      </w:r>
    </w:p>
    <w:p w14:paraId="6AC6C04F">
      <w:pPr>
        <w:spacing w:line="360" w:lineRule="auto"/>
        <w:ind w:firstLine="42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1、院前医疗急救呼救定位系统平台硬件维护服务</w:t>
      </w:r>
    </w:p>
    <w:p w14:paraId="168E3B89">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中山市急救中心指挥调度系统中心机房的中继E1线路现状，机房配套设施配置信令采集器及配套辅材DDF架。该配套设施承担着信令采集以及电话信令鉴权的核心任务，是保障院前医疗急救呼救定位系统准确、高效运行的关键环节，在硬件系统运行维护服务的具体技术要求方面，具备如下标准：</w:t>
      </w:r>
    </w:p>
    <w:p w14:paraId="2AA91D36">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1)信令兼容性</w:t>
      </w:r>
    </w:p>
    <w:p w14:paraId="4B85C9D6">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全面兼容SS7、ISDN、PRI、DSS1等多种信令类型，适配多样化的通信网络架构，确保在复杂通信环境下，信令数据能够实现稳定、高效传输，满足院前医疗急救对通信可靠性的严苛要求。</w:t>
      </w:r>
    </w:p>
    <w:p w14:paraId="2F9ABCD3">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2)接口配置规格</w:t>
      </w:r>
    </w:p>
    <w:p w14:paraId="46365409">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硬件设备配备1-4个E1接口，用于实现高速、大容量的数据传输，保障信令采集及相关数据交互的高效性。</w:t>
      </w:r>
    </w:p>
    <w:p w14:paraId="0CAC1BE3">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3)网络管理功能</w:t>
      </w:r>
    </w:p>
    <w:p w14:paraId="4CE0D841">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为实现硬件设备的远程、便捷管理，系统具备Web网管设置功能。</w:t>
      </w:r>
    </w:p>
    <w:p w14:paraId="306E7041">
      <w:pPr>
        <w:spacing w:line="360" w:lineRule="auto"/>
        <w:ind w:firstLine="42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2、院前医疗急救呼救定位系统平台软件运行维护服务</w:t>
      </w:r>
    </w:p>
    <w:p w14:paraId="1BEEE3F2">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本服务内容面向于院前医疗急救呼救定位系统关联的软件系统部分提供运行维护服务技术支撑，主要软件系统运行维护服务具体要求如下：</w:t>
      </w:r>
    </w:p>
    <w:p w14:paraId="22CC5E31">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1）定位查询平台</w:t>
      </w:r>
    </w:p>
    <w:p w14:paraId="41DFC263">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该平台承担为中山市120急救中心提供呼叫急救电话的用户位置信息查询服务，保障120报警定位功能的正常及稳定运行。</w:t>
      </w:r>
    </w:p>
    <w:p w14:paraId="5324A53A">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2）定位代理平台</w:t>
      </w:r>
    </w:p>
    <w:p w14:paraId="24F437ED">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定位代理平台是基础电信企业的定位服务代理，负责多套移动通信网络的接入与定位数据安全分析应用服务，负责接收120定位查询平台操作请求。</w:t>
      </w:r>
    </w:p>
    <w:p w14:paraId="0091ACA5">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3）运维监控平台</w:t>
      </w:r>
    </w:p>
    <w:p w14:paraId="49E96D64">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对系统运行状态、业务运行状态可实时监控，具备多种告警机制，当发生故障时可自动发出告警，通知相应运维人员处理。</w:t>
      </w:r>
    </w:p>
    <w:p w14:paraId="1CD8C242">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4）调度系统接口开发服务</w:t>
      </w:r>
    </w:p>
    <w:p w14:paraId="7E55F419">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与120现使用调度系统进行对接，实现在现调度系统地图上展现求救者位置信息。</w:t>
      </w:r>
    </w:p>
    <w:p w14:paraId="0D169B1D">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5）基础运营商位置数据接口</w:t>
      </w:r>
    </w:p>
    <w:p w14:paraId="28626B6F">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实现中山市内基础运营商手机电话拨入时的数据采集。</w:t>
      </w:r>
    </w:p>
    <w:p w14:paraId="0E98717A">
      <w:pPr>
        <w:spacing w:before="182" w:line="220" w:lineRule="auto"/>
        <w:ind w:left="486"/>
        <w:rPr>
          <w:rFonts w:hint="eastAsia" w:ascii="宋体" w:hAnsi="宋体" w:eastAsia="宋体" w:cs="宋体"/>
          <w:sz w:val="24"/>
          <w:szCs w:val="24"/>
        </w:rPr>
      </w:pPr>
      <w:r>
        <w:rPr>
          <w:rFonts w:hint="eastAsia" w:ascii="宋体" w:hAnsi="宋体" w:eastAsia="宋体" w:cs="宋体"/>
          <w:b/>
          <w:bCs/>
          <w:spacing w:val="-3"/>
          <w:sz w:val="24"/>
          <w:szCs w:val="24"/>
          <w:lang w:val="en-US" w:eastAsia="zh-CN"/>
        </w:rPr>
        <w:t>3</w:t>
      </w:r>
      <w:r>
        <w:rPr>
          <w:rFonts w:hint="eastAsia" w:ascii="宋体" w:hAnsi="宋体" w:eastAsia="宋体" w:cs="宋体"/>
          <w:b/>
          <w:bCs/>
          <w:spacing w:val="-3"/>
          <w:sz w:val="24"/>
          <w:szCs w:val="24"/>
        </w:rPr>
        <w:t>、120</w:t>
      </w:r>
      <w:r>
        <w:rPr>
          <w:rFonts w:hint="eastAsia" w:ascii="宋体" w:hAnsi="宋体" w:eastAsia="宋体" w:cs="宋体"/>
          <w:spacing w:val="-50"/>
          <w:sz w:val="24"/>
          <w:szCs w:val="24"/>
        </w:rPr>
        <w:t xml:space="preserve"> </w:t>
      </w:r>
      <w:r>
        <w:rPr>
          <w:rFonts w:hint="eastAsia" w:ascii="宋体" w:hAnsi="宋体" w:eastAsia="宋体" w:cs="宋体"/>
          <w:b/>
          <w:bCs/>
          <w:spacing w:val="-3"/>
          <w:sz w:val="24"/>
          <w:szCs w:val="24"/>
        </w:rPr>
        <w:t>报警定位能力和定位数据服务</w:t>
      </w:r>
    </w:p>
    <w:p w14:paraId="59B3BA03">
      <w:pPr>
        <w:spacing w:before="181" w:line="359" w:lineRule="auto"/>
        <w:ind w:left="1" w:firstLine="478"/>
        <w:jc w:val="both"/>
        <w:rPr>
          <w:rFonts w:hint="eastAsia" w:ascii="宋体" w:hAnsi="宋体" w:eastAsia="宋体" w:cs="宋体"/>
          <w:sz w:val="24"/>
          <w:szCs w:val="24"/>
        </w:rPr>
      </w:pPr>
      <w:r>
        <w:rPr>
          <w:rFonts w:hint="eastAsia" w:ascii="宋体" w:hAnsi="宋体" w:eastAsia="宋体" w:cs="宋体"/>
          <w:sz w:val="24"/>
          <w:szCs w:val="24"/>
        </w:rPr>
        <w:t>在院前急救呼救定位系统建设时考虑了与基础运营商通信网络的接入与定位实现问题，</w:t>
      </w:r>
      <w:r>
        <w:rPr>
          <w:rFonts w:hint="eastAsia" w:ascii="宋体" w:hAnsi="宋体" w:eastAsia="宋体" w:cs="宋体"/>
          <w:spacing w:val="-1"/>
          <w:sz w:val="24"/>
          <w:szCs w:val="24"/>
        </w:rPr>
        <w:t>本项目建设时期针对基础运营商的手机用户实现 120 报警定位数据的接入</w:t>
      </w:r>
      <w:r>
        <w:rPr>
          <w:rFonts w:hint="eastAsia" w:ascii="宋体" w:hAnsi="宋体" w:eastAsia="宋体" w:cs="宋体"/>
          <w:spacing w:val="-2"/>
          <w:sz w:val="24"/>
          <w:szCs w:val="24"/>
        </w:rPr>
        <w:t>，因此本次运维</w:t>
      </w:r>
      <w:r>
        <w:rPr>
          <w:rFonts w:hint="eastAsia" w:ascii="宋体" w:hAnsi="宋体" w:eastAsia="宋体" w:cs="宋体"/>
          <w:spacing w:val="2"/>
          <w:sz w:val="24"/>
          <w:szCs w:val="24"/>
        </w:rPr>
        <w:t>项目应具备基础运营商的报警定位能力，以及提供优化后的基础运营定位数</w:t>
      </w:r>
      <w:r>
        <w:rPr>
          <w:rFonts w:hint="eastAsia" w:ascii="宋体" w:hAnsi="宋体" w:eastAsia="宋体" w:cs="宋体"/>
          <w:spacing w:val="1"/>
          <w:sz w:val="24"/>
          <w:szCs w:val="24"/>
        </w:rPr>
        <w:t>据、符合条件</w:t>
      </w:r>
      <w:r>
        <w:rPr>
          <w:rFonts w:hint="eastAsia" w:ascii="宋体" w:hAnsi="宋体" w:eastAsia="宋体" w:cs="宋体"/>
          <w:spacing w:val="-4"/>
          <w:sz w:val="24"/>
          <w:szCs w:val="24"/>
        </w:rPr>
        <w:t>的手机高精度定位数据。</w:t>
      </w:r>
    </w:p>
    <w:p w14:paraId="448E0C10">
      <w:pPr>
        <w:pStyle w:val="3"/>
        <w:numPr>
          <w:ilvl w:val="0"/>
          <w:numId w:val="1"/>
        </w:numPr>
        <w:bidi w:val="0"/>
        <w:rPr>
          <w:rFonts w:hint="eastAsia" w:ascii="宋体" w:hAnsi="宋体" w:eastAsia="宋体" w:cs="宋体"/>
          <w:lang w:val="en-US" w:eastAsia="zh-CN"/>
        </w:rPr>
      </w:pPr>
      <w:r>
        <w:rPr>
          <w:rFonts w:hint="eastAsia" w:ascii="宋体" w:hAnsi="宋体" w:eastAsia="宋体" w:cs="宋体"/>
          <w:lang w:val="en-US" w:eastAsia="zh-CN"/>
        </w:rPr>
        <w:t>运维服务指标</w:t>
      </w:r>
    </w:p>
    <w:p w14:paraId="43375014">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运维服务指标范围应包括实现院前急救呼救定位系统功能的所有工作内容，具体运维服务指标要求如下：</w:t>
      </w:r>
    </w:p>
    <w:p w14:paraId="4253D8CB">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1．需支持归属地为本市的基础运营商的手机基站报警定位能力及相关数据运维；</w:t>
      </w:r>
    </w:p>
    <w:p w14:paraId="0194C17F">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2．需支持外地号码加拨本地区号，或漫游至本市辖区时的手机基站报警定位能力及相关数据运维；</w:t>
      </w:r>
    </w:p>
    <w:p w14:paraId="64043B0C">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3．需支持接收符合条件的手机用户上报的高精度位置信息定位能力及相关数据运维；</w:t>
      </w:r>
    </w:p>
    <w:p w14:paraId="0FC198F2">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4．提供 7×24 小时不间断运维服务。</w:t>
      </w:r>
    </w:p>
    <w:p w14:paraId="498D0C55">
      <w:pPr>
        <w:pStyle w:val="3"/>
        <w:numPr>
          <w:ilvl w:val="0"/>
          <w:numId w:val="1"/>
        </w:numPr>
        <w:bidi w:val="0"/>
        <w:rPr>
          <w:rFonts w:hint="eastAsia" w:ascii="宋体" w:hAnsi="宋体" w:eastAsia="宋体" w:cs="宋体"/>
          <w:lang w:val="en-US" w:eastAsia="zh-CN"/>
        </w:rPr>
      </w:pPr>
      <w:r>
        <w:rPr>
          <w:rFonts w:hint="eastAsia" w:ascii="宋体" w:hAnsi="宋体" w:eastAsia="宋体" w:cs="宋体"/>
          <w:lang w:val="en-US" w:eastAsia="zh-CN"/>
        </w:rPr>
        <w:t>其他要求</w:t>
      </w:r>
    </w:p>
    <w:p w14:paraId="5E491299">
      <w:pPr>
        <w:spacing w:line="360" w:lineRule="auto"/>
        <w:ind w:firstLine="42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1、运维服务方案</w:t>
      </w:r>
    </w:p>
    <w:p w14:paraId="41987CF4">
      <w:pPr>
        <w:spacing w:before="182" w:line="219" w:lineRule="auto"/>
        <w:ind w:left="501"/>
        <w:rPr>
          <w:rFonts w:ascii="宋体" w:hAnsi="宋体" w:eastAsia="宋体" w:cs="宋体"/>
          <w:sz w:val="24"/>
          <w:szCs w:val="24"/>
        </w:rPr>
      </w:pPr>
      <w:r>
        <w:rPr>
          <w:rFonts w:ascii="宋体" w:hAnsi="宋体" w:eastAsia="宋体" w:cs="宋体"/>
          <w:spacing w:val="-2"/>
          <w:sz w:val="24"/>
          <w:szCs w:val="24"/>
        </w:rPr>
        <w:t>响应文件中应进行简要的运维服务方案描述，主要内容应包括</w:t>
      </w:r>
      <w:r>
        <w:rPr>
          <w:rFonts w:ascii="宋体" w:hAnsi="宋体" w:eastAsia="宋体" w:cs="宋体"/>
          <w:spacing w:val="-3"/>
          <w:sz w:val="24"/>
          <w:szCs w:val="24"/>
        </w:rPr>
        <w:t>以下几个层面：</w:t>
      </w:r>
    </w:p>
    <w:p w14:paraId="2A0B0DA3">
      <w:pPr>
        <w:spacing w:before="182" w:line="359" w:lineRule="auto"/>
        <w:ind w:left="8" w:right="82" w:firstLine="483"/>
        <w:rPr>
          <w:rFonts w:ascii="宋体" w:hAnsi="宋体" w:eastAsia="宋体" w:cs="宋体"/>
          <w:sz w:val="24"/>
          <w:szCs w:val="24"/>
        </w:rPr>
      </w:pPr>
      <w:r>
        <w:rPr>
          <w:rFonts w:ascii="宋体" w:hAnsi="宋体" w:eastAsia="宋体" w:cs="宋体"/>
          <w:spacing w:val="-4"/>
          <w:sz w:val="24"/>
          <w:szCs w:val="24"/>
        </w:rPr>
        <w:t>组织架构与职责：在项目的管理过程中，相</w:t>
      </w:r>
      <w:r>
        <w:rPr>
          <w:rFonts w:ascii="宋体" w:hAnsi="宋体" w:eastAsia="宋体" w:cs="宋体"/>
          <w:spacing w:val="-5"/>
          <w:sz w:val="24"/>
          <w:szCs w:val="24"/>
        </w:rPr>
        <w:t>关责任方应共同组建项目建设小组。供应商</w:t>
      </w:r>
      <w:r>
        <w:rPr>
          <w:rFonts w:ascii="宋体" w:hAnsi="宋体" w:eastAsia="宋体" w:cs="宋体"/>
          <w:spacing w:val="-6"/>
          <w:sz w:val="24"/>
          <w:szCs w:val="24"/>
        </w:rPr>
        <w:t>指定项目负责人和核心技术骨干，保证人员的数量、</w:t>
      </w:r>
      <w:r>
        <w:rPr>
          <w:rFonts w:ascii="宋体" w:hAnsi="宋体" w:eastAsia="宋体" w:cs="宋体"/>
          <w:spacing w:val="-7"/>
          <w:sz w:val="24"/>
          <w:szCs w:val="24"/>
        </w:rPr>
        <w:t>质量和人员的稳定性、连续性，</w:t>
      </w:r>
      <w:r>
        <w:rPr>
          <w:rFonts w:ascii="宋体" w:hAnsi="宋体" w:eastAsia="宋体" w:cs="宋体"/>
          <w:spacing w:val="-32"/>
          <w:sz w:val="24"/>
          <w:szCs w:val="24"/>
        </w:rPr>
        <w:t xml:space="preserve"> </w:t>
      </w:r>
      <w:r>
        <w:rPr>
          <w:rFonts w:ascii="宋体" w:hAnsi="宋体" w:eastAsia="宋体" w:cs="宋体"/>
          <w:spacing w:val="-7"/>
          <w:sz w:val="24"/>
          <w:szCs w:val="24"/>
        </w:rPr>
        <w:t>实现例</w:t>
      </w:r>
      <w:r>
        <w:rPr>
          <w:rFonts w:ascii="宋体" w:hAnsi="宋体" w:eastAsia="宋体" w:cs="宋体"/>
          <w:spacing w:val="-1"/>
          <w:sz w:val="24"/>
          <w:szCs w:val="24"/>
        </w:rPr>
        <w:t>会制度，规划项目建设的进程、相关措施和实施办法，及时考核各</w:t>
      </w:r>
      <w:r>
        <w:rPr>
          <w:rFonts w:ascii="宋体" w:hAnsi="宋体" w:eastAsia="宋体" w:cs="宋体"/>
          <w:spacing w:val="-2"/>
          <w:sz w:val="24"/>
          <w:szCs w:val="24"/>
        </w:rPr>
        <w:t>阶段建设情况。</w:t>
      </w:r>
    </w:p>
    <w:p w14:paraId="54B1A346">
      <w:pPr>
        <w:spacing w:line="359" w:lineRule="auto"/>
        <w:ind w:left="38" w:right="119" w:firstLine="456"/>
        <w:rPr>
          <w:rFonts w:ascii="宋体" w:hAnsi="宋体" w:eastAsia="宋体" w:cs="宋体"/>
          <w:sz w:val="24"/>
          <w:szCs w:val="24"/>
        </w:rPr>
      </w:pPr>
      <w:r>
        <w:rPr>
          <w:rFonts w:ascii="宋体" w:hAnsi="宋体" w:eastAsia="宋体" w:cs="宋体"/>
          <w:spacing w:val="-6"/>
          <w:sz w:val="24"/>
          <w:szCs w:val="24"/>
        </w:rPr>
        <w:t>实施阶段划分：在分阶段实施计划的基础上，进一步明确和细化每个阶段的工作范围、</w:t>
      </w:r>
      <w:r>
        <w:rPr>
          <w:rFonts w:ascii="宋体" w:hAnsi="宋体" w:eastAsia="宋体" w:cs="宋体"/>
          <w:spacing w:val="-4"/>
          <w:sz w:val="24"/>
          <w:szCs w:val="24"/>
        </w:rPr>
        <w:t>内容、人力投入、过程、责任、交付成果等。</w:t>
      </w:r>
    </w:p>
    <w:p w14:paraId="2B79ACED">
      <w:pPr>
        <w:spacing w:line="219" w:lineRule="auto"/>
        <w:ind w:left="494"/>
        <w:rPr>
          <w:rFonts w:ascii="宋体" w:hAnsi="宋体" w:eastAsia="宋体" w:cs="宋体"/>
          <w:sz w:val="24"/>
          <w:szCs w:val="24"/>
        </w:rPr>
      </w:pPr>
      <w:r>
        <w:rPr>
          <w:rFonts w:ascii="宋体" w:hAnsi="宋体" w:eastAsia="宋体" w:cs="宋体"/>
          <w:b/>
          <w:bCs/>
          <w:spacing w:val="-5"/>
          <w:sz w:val="24"/>
          <w:szCs w:val="24"/>
        </w:rPr>
        <w:t>2、故障响应说明</w:t>
      </w:r>
    </w:p>
    <w:p w14:paraId="06276B86">
      <w:pPr>
        <w:spacing w:before="181" w:line="350" w:lineRule="auto"/>
        <w:ind w:left="10" w:right="81" w:firstLine="479"/>
        <w:jc w:val="both"/>
        <w:rPr>
          <w:rFonts w:ascii="宋体" w:hAnsi="宋体" w:eastAsia="宋体" w:cs="宋体"/>
          <w:sz w:val="24"/>
          <w:szCs w:val="24"/>
        </w:rPr>
      </w:pPr>
      <w:r>
        <w:rPr>
          <w:rFonts w:ascii="宋体" w:hAnsi="宋体" w:eastAsia="宋体" w:cs="宋体"/>
          <w:spacing w:val="2"/>
          <w:sz w:val="24"/>
          <w:szCs w:val="24"/>
        </w:rPr>
        <w:t>服务期间，供应商应安排专业的技术人员负责及时消除硬件设备或软件</w:t>
      </w:r>
      <w:r>
        <w:rPr>
          <w:rFonts w:ascii="宋体" w:hAnsi="宋体" w:eastAsia="宋体" w:cs="宋体"/>
          <w:spacing w:val="1"/>
          <w:sz w:val="24"/>
          <w:szCs w:val="24"/>
        </w:rPr>
        <w:t>系统故障。当</w:t>
      </w:r>
      <w:r>
        <w:rPr>
          <w:rFonts w:ascii="宋体" w:hAnsi="宋体" w:eastAsia="宋体" w:cs="宋体"/>
          <w:spacing w:val="2"/>
          <w:sz w:val="24"/>
          <w:szCs w:val="24"/>
        </w:rPr>
        <w:t>出现设备或网络故障以及其他原因导致不能提供相应的接入定位服务时，将</w:t>
      </w:r>
      <w:r>
        <w:rPr>
          <w:rFonts w:ascii="宋体" w:hAnsi="宋体" w:eastAsia="宋体" w:cs="宋体"/>
          <w:spacing w:val="1"/>
          <w:sz w:val="24"/>
          <w:szCs w:val="24"/>
        </w:rPr>
        <w:t>根据故障实际</w:t>
      </w:r>
      <w:r>
        <w:rPr>
          <w:rFonts w:ascii="宋体" w:hAnsi="宋体" w:eastAsia="宋体" w:cs="宋体"/>
          <w:spacing w:val="-2"/>
          <w:sz w:val="24"/>
          <w:szCs w:val="24"/>
        </w:rPr>
        <w:t>情况进行及时的响应和排查，迅速解决故障问题。</w:t>
      </w:r>
    </w:p>
    <w:tbl>
      <w:tblPr>
        <w:tblStyle w:val="21"/>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056"/>
        <w:gridCol w:w="6254"/>
      </w:tblGrid>
      <w:tr w14:paraId="0789B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237" w:type="pct"/>
            <w:shd w:val="clear" w:color="auto" w:fill="E8E8E8"/>
            <w:vAlign w:val="top"/>
          </w:tcPr>
          <w:p w14:paraId="2E292BA4">
            <w:pPr>
              <w:pStyle w:val="20"/>
              <w:spacing w:before="136" w:line="220" w:lineRule="auto"/>
              <w:ind w:left="663"/>
            </w:pPr>
            <w:r>
              <w:rPr>
                <w:spacing w:val="-3"/>
              </w:rPr>
              <w:t>故障类型</w:t>
            </w:r>
          </w:p>
        </w:tc>
        <w:tc>
          <w:tcPr>
            <w:tcW w:w="3762" w:type="pct"/>
            <w:shd w:val="clear" w:color="auto" w:fill="E8E8E8"/>
            <w:vAlign w:val="top"/>
          </w:tcPr>
          <w:p w14:paraId="64698583">
            <w:pPr>
              <w:pStyle w:val="20"/>
              <w:spacing w:before="136" w:line="220" w:lineRule="auto"/>
              <w:ind w:left="2975"/>
            </w:pPr>
            <w:r>
              <w:rPr>
                <w:spacing w:val="-3"/>
              </w:rPr>
              <w:t>故障内容</w:t>
            </w:r>
          </w:p>
        </w:tc>
      </w:tr>
      <w:tr w14:paraId="4415D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1237" w:type="pct"/>
            <w:vAlign w:val="top"/>
          </w:tcPr>
          <w:p w14:paraId="59B3B440">
            <w:pPr>
              <w:pStyle w:val="20"/>
              <w:spacing w:before="195" w:line="220" w:lineRule="auto"/>
              <w:ind w:left="737"/>
            </w:pPr>
            <w:r>
              <w:rPr>
                <w:spacing w:val="-17"/>
              </w:rPr>
              <w:t>Ⅰ级故障</w:t>
            </w:r>
          </w:p>
        </w:tc>
        <w:tc>
          <w:tcPr>
            <w:tcW w:w="3762" w:type="pct"/>
            <w:vAlign w:val="top"/>
          </w:tcPr>
          <w:p w14:paraId="4D684B76">
            <w:pPr>
              <w:pStyle w:val="20"/>
              <w:spacing w:before="196" w:line="219" w:lineRule="auto"/>
              <w:ind w:left="2252"/>
            </w:pPr>
            <w:r>
              <w:rPr>
                <w:spacing w:val="-2"/>
              </w:rPr>
              <w:t>完全不能提供系统服务</w:t>
            </w:r>
          </w:p>
        </w:tc>
      </w:tr>
      <w:tr w14:paraId="6F35E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237" w:type="pct"/>
            <w:vAlign w:val="top"/>
          </w:tcPr>
          <w:p w14:paraId="0C88ADFA">
            <w:pPr>
              <w:pStyle w:val="20"/>
              <w:spacing w:before="198" w:line="220" w:lineRule="auto"/>
              <w:ind w:left="700"/>
            </w:pPr>
            <w:r>
              <w:rPr>
                <w:spacing w:val="-10"/>
              </w:rPr>
              <w:t>Ⅱ级故障</w:t>
            </w:r>
          </w:p>
        </w:tc>
        <w:tc>
          <w:tcPr>
            <w:tcW w:w="3762" w:type="pct"/>
            <w:vAlign w:val="top"/>
          </w:tcPr>
          <w:p w14:paraId="4AB45A3E">
            <w:pPr>
              <w:pStyle w:val="20"/>
              <w:spacing w:before="198" w:line="219" w:lineRule="auto"/>
              <w:ind w:left="2253"/>
            </w:pPr>
            <w:r>
              <w:rPr>
                <w:spacing w:val="-2"/>
              </w:rPr>
              <w:t>部分不能提供系统服务</w:t>
            </w:r>
          </w:p>
        </w:tc>
      </w:tr>
      <w:tr w14:paraId="58BD5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237" w:type="pct"/>
            <w:tcBorders>
              <w:bottom w:val="single" w:color="000000" w:sz="4" w:space="0"/>
            </w:tcBorders>
            <w:vAlign w:val="top"/>
          </w:tcPr>
          <w:p w14:paraId="2F15BA21">
            <w:pPr>
              <w:pStyle w:val="20"/>
              <w:spacing w:before="199" w:line="220" w:lineRule="auto"/>
              <w:ind w:left="658"/>
            </w:pPr>
            <w:r>
              <w:rPr>
                <w:spacing w:val="-2"/>
              </w:rPr>
              <w:t>Ⅲ级故障</w:t>
            </w:r>
          </w:p>
        </w:tc>
        <w:tc>
          <w:tcPr>
            <w:tcW w:w="3762" w:type="pct"/>
            <w:tcBorders>
              <w:bottom w:val="single" w:color="000000" w:sz="4" w:space="0"/>
            </w:tcBorders>
            <w:vAlign w:val="top"/>
          </w:tcPr>
          <w:p w14:paraId="089A84E6">
            <w:pPr>
              <w:pStyle w:val="20"/>
              <w:spacing w:before="199" w:line="220" w:lineRule="auto"/>
              <w:ind w:left="1770"/>
            </w:pPr>
            <w:r>
              <w:rPr>
                <w:spacing w:val="-1"/>
              </w:rPr>
              <w:t>服务故障偏低，不影响系统运行</w:t>
            </w:r>
          </w:p>
        </w:tc>
      </w:tr>
    </w:tbl>
    <w:p w14:paraId="1437E535">
      <w:pPr>
        <w:spacing w:before="37" w:line="359" w:lineRule="auto"/>
        <w:ind w:left="16" w:right="86" w:firstLine="412"/>
        <w:rPr>
          <w:rFonts w:ascii="宋体" w:hAnsi="宋体" w:eastAsia="宋体" w:cs="宋体"/>
          <w:sz w:val="24"/>
          <w:szCs w:val="24"/>
        </w:rPr>
      </w:pPr>
      <w:r>
        <w:rPr>
          <w:rFonts w:ascii="宋体" w:hAnsi="宋体" w:eastAsia="宋体" w:cs="宋体"/>
          <w:spacing w:val="-3"/>
          <w:sz w:val="24"/>
          <w:szCs w:val="24"/>
        </w:rPr>
        <w:t>根据以上定义的故障分级，当系统事件的要素满足启动应急预案要求时，进入相应的应</w:t>
      </w:r>
      <w:r>
        <w:rPr>
          <w:rFonts w:ascii="宋体" w:hAnsi="宋体" w:eastAsia="宋体" w:cs="宋体"/>
          <w:spacing w:val="-8"/>
          <w:sz w:val="24"/>
          <w:szCs w:val="24"/>
        </w:rPr>
        <w:t>急启动流程。</w:t>
      </w:r>
    </w:p>
    <w:p w14:paraId="41193536">
      <w:pPr>
        <w:spacing w:line="360" w:lineRule="auto"/>
        <w:ind w:firstLine="420"/>
        <w:rPr>
          <w:rFonts w:hint="eastAsia" w:ascii="宋体" w:hAnsi="宋体" w:eastAsia="宋体" w:cs="宋体"/>
          <w:sz w:val="24"/>
          <w:szCs w:val="24"/>
        </w:rPr>
      </w:pPr>
    </w:p>
    <w:p w14:paraId="1A4E9A5B">
      <w:pPr>
        <w:rPr>
          <w:rFonts w:hint="eastAsia" w:ascii="宋体" w:hAnsi="宋体" w:eastAsia="宋体" w:cs="宋体"/>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F730">
    <w:pPr>
      <w:spacing w:line="237" w:lineRule="auto"/>
      <w:ind w:left="4895"/>
      <w:rPr>
        <w:rFonts w:ascii="Calibri" w:hAnsi="Calibri" w:eastAsia="Calibri" w:cs="Calibri"/>
        <w:sz w:val="18"/>
        <w:szCs w:val="18"/>
      </w:rPr>
    </w:pPr>
    <w:r>
      <w:rPr>
        <w:rFonts w:ascii="Calibri" w:hAnsi="Calibri" w:eastAsia="Calibri" w:cs="Calibri"/>
        <w:sz w:val="18"/>
        <w:szCs w:val="18"/>
      </w:rPr>
      <w:t>7</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3FE3D2"/>
    <w:multiLevelType w:val="singleLevel"/>
    <w:tmpl w:val="893FE3D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4NzIyN2MxYTlmMzQ1NGE2MjU5NWRkMjhlOGMxYTAifQ=="/>
  </w:docVars>
  <w:rsids>
    <w:rsidRoot w:val="00B475A8"/>
    <w:rsid w:val="0001059A"/>
    <w:rsid w:val="00037B82"/>
    <w:rsid w:val="00044C6A"/>
    <w:rsid w:val="00046A04"/>
    <w:rsid w:val="0005220B"/>
    <w:rsid w:val="000637F1"/>
    <w:rsid w:val="000729DB"/>
    <w:rsid w:val="000839E6"/>
    <w:rsid w:val="000A5340"/>
    <w:rsid w:val="000E27EC"/>
    <w:rsid w:val="000F67D9"/>
    <w:rsid w:val="00103B0B"/>
    <w:rsid w:val="00107AEF"/>
    <w:rsid w:val="0012506E"/>
    <w:rsid w:val="00154A52"/>
    <w:rsid w:val="001600DD"/>
    <w:rsid w:val="0016491F"/>
    <w:rsid w:val="00175CAE"/>
    <w:rsid w:val="001C564D"/>
    <w:rsid w:val="001C5D2D"/>
    <w:rsid w:val="001D6FEA"/>
    <w:rsid w:val="001E7308"/>
    <w:rsid w:val="00210C6A"/>
    <w:rsid w:val="00214D56"/>
    <w:rsid w:val="00215584"/>
    <w:rsid w:val="00215AD3"/>
    <w:rsid w:val="00216DBF"/>
    <w:rsid w:val="002235CA"/>
    <w:rsid w:val="002644E5"/>
    <w:rsid w:val="002667E2"/>
    <w:rsid w:val="0027044E"/>
    <w:rsid w:val="0027282F"/>
    <w:rsid w:val="00275888"/>
    <w:rsid w:val="00297B5C"/>
    <w:rsid w:val="002A2C59"/>
    <w:rsid w:val="002E3269"/>
    <w:rsid w:val="002E60F4"/>
    <w:rsid w:val="002F12C8"/>
    <w:rsid w:val="002F405E"/>
    <w:rsid w:val="00301ABC"/>
    <w:rsid w:val="003310A2"/>
    <w:rsid w:val="00340AB6"/>
    <w:rsid w:val="003570E1"/>
    <w:rsid w:val="00381054"/>
    <w:rsid w:val="00387DF9"/>
    <w:rsid w:val="00390B07"/>
    <w:rsid w:val="003925D2"/>
    <w:rsid w:val="003A4D5C"/>
    <w:rsid w:val="003B485B"/>
    <w:rsid w:val="003B643A"/>
    <w:rsid w:val="003E644B"/>
    <w:rsid w:val="00411C05"/>
    <w:rsid w:val="00432086"/>
    <w:rsid w:val="004A2499"/>
    <w:rsid w:val="004C1FD8"/>
    <w:rsid w:val="004C6AF4"/>
    <w:rsid w:val="004D6863"/>
    <w:rsid w:val="00517E2F"/>
    <w:rsid w:val="00535948"/>
    <w:rsid w:val="0054217E"/>
    <w:rsid w:val="00546095"/>
    <w:rsid w:val="00574158"/>
    <w:rsid w:val="005749DA"/>
    <w:rsid w:val="005835D7"/>
    <w:rsid w:val="00592087"/>
    <w:rsid w:val="005932F6"/>
    <w:rsid w:val="00596C11"/>
    <w:rsid w:val="005C1CBC"/>
    <w:rsid w:val="005E73C5"/>
    <w:rsid w:val="005F6818"/>
    <w:rsid w:val="00614DFD"/>
    <w:rsid w:val="006168BB"/>
    <w:rsid w:val="00641F49"/>
    <w:rsid w:val="00675A19"/>
    <w:rsid w:val="006A76DA"/>
    <w:rsid w:val="006F00E2"/>
    <w:rsid w:val="006F3399"/>
    <w:rsid w:val="007055F3"/>
    <w:rsid w:val="00711462"/>
    <w:rsid w:val="00714DA2"/>
    <w:rsid w:val="00715CCA"/>
    <w:rsid w:val="007440C1"/>
    <w:rsid w:val="007646D5"/>
    <w:rsid w:val="00771B01"/>
    <w:rsid w:val="0078558C"/>
    <w:rsid w:val="007C3084"/>
    <w:rsid w:val="007E05C5"/>
    <w:rsid w:val="007F438D"/>
    <w:rsid w:val="007F4A6E"/>
    <w:rsid w:val="008015F7"/>
    <w:rsid w:val="00806A5A"/>
    <w:rsid w:val="00831AB5"/>
    <w:rsid w:val="00832F30"/>
    <w:rsid w:val="00841445"/>
    <w:rsid w:val="00860863"/>
    <w:rsid w:val="00866316"/>
    <w:rsid w:val="008668A0"/>
    <w:rsid w:val="00891618"/>
    <w:rsid w:val="008939F1"/>
    <w:rsid w:val="0089610D"/>
    <w:rsid w:val="008B1480"/>
    <w:rsid w:val="008D0372"/>
    <w:rsid w:val="008D1F88"/>
    <w:rsid w:val="008D3D0E"/>
    <w:rsid w:val="008D4EE8"/>
    <w:rsid w:val="008D5748"/>
    <w:rsid w:val="008E2A0E"/>
    <w:rsid w:val="00911FE2"/>
    <w:rsid w:val="009269A2"/>
    <w:rsid w:val="00934C33"/>
    <w:rsid w:val="00941052"/>
    <w:rsid w:val="009467A7"/>
    <w:rsid w:val="00946FC3"/>
    <w:rsid w:val="009729BD"/>
    <w:rsid w:val="009837B3"/>
    <w:rsid w:val="00992E5E"/>
    <w:rsid w:val="00995275"/>
    <w:rsid w:val="009B7CFA"/>
    <w:rsid w:val="009F194B"/>
    <w:rsid w:val="00A20944"/>
    <w:rsid w:val="00A25ADB"/>
    <w:rsid w:val="00A471AE"/>
    <w:rsid w:val="00A56C9F"/>
    <w:rsid w:val="00A96949"/>
    <w:rsid w:val="00AC2128"/>
    <w:rsid w:val="00AE41CE"/>
    <w:rsid w:val="00AE4851"/>
    <w:rsid w:val="00B116AD"/>
    <w:rsid w:val="00B12746"/>
    <w:rsid w:val="00B475A8"/>
    <w:rsid w:val="00B85F6A"/>
    <w:rsid w:val="00BB09E1"/>
    <w:rsid w:val="00BC0BCE"/>
    <w:rsid w:val="00BC3EE1"/>
    <w:rsid w:val="00BE3F79"/>
    <w:rsid w:val="00C01E70"/>
    <w:rsid w:val="00C1789B"/>
    <w:rsid w:val="00C2603B"/>
    <w:rsid w:val="00C26B23"/>
    <w:rsid w:val="00C34DAD"/>
    <w:rsid w:val="00C40976"/>
    <w:rsid w:val="00C67579"/>
    <w:rsid w:val="00C82622"/>
    <w:rsid w:val="00CD18C1"/>
    <w:rsid w:val="00CE00F8"/>
    <w:rsid w:val="00CF7324"/>
    <w:rsid w:val="00D11E65"/>
    <w:rsid w:val="00D1602F"/>
    <w:rsid w:val="00D17818"/>
    <w:rsid w:val="00D23868"/>
    <w:rsid w:val="00D35A81"/>
    <w:rsid w:val="00D60EB1"/>
    <w:rsid w:val="00D62D4A"/>
    <w:rsid w:val="00D65C4A"/>
    <w:rsid w:val="00D66D7B"/>
    <w:rsid w:val="00D9734B"/>
    <w:rsid w:val="00DC0C83"/>
    <w:rsid w:val="00E04BED"/>
    <w:rsid w:val="00E10C38"/>
    <w:rsid w:val="00E140CE"/>
    <w:rsid w:val="00E553CB"/>
    <w:rsid w:val="00E67CE1"/>
    <w:rsid w:val="00EA2418"/>
    <w:rsid w:val="00EC79CC"/>
    <w:rsid w:val="00EF3F7B"/>
    <w:rsid w:val="00EF3F84"/>
    <w:rsid w:val="00F15B6E"/>
    <w:rsid w:val="00F24C77"/>
    <w:rsid w:val="00F37194"/>
    <w:rsid w:val="00F373F6"/>
    <w:rsid w:val="00F515BA"/>
    <w:rsid w:val="00F66CE0"/>
    <w:rsid w:val="00F7409B"/>
    <w:rsid w:val="00F76805"/>
    <w:rsid w:val="00F9096E"/>
    <w:rsid w:val="00F975D6"/>
    <w:rsid w:val="00FA7E75"/>
    <w:rsid w:val="00FB66B3"/>
    <w:rsid w:val="00FC5CBF"/>
    <w:rsid w:val="00FD179A"/>
    <w:rsid w:val="00FD1FBC"/>
    <w:rsid w:val="00FE0E1A"/>
    <w:rsid w:val="01080A12"/>
    <w:rsid w:val="011B572A"/>
    <w:rsid w:val="011B6997"/>
    <w:rsid w:val="01427E36"/>
    <w:rsid w:val="01457570"/>
    <w:rsid w:val="014A2DD9"/>
    <w:rsid w:val="016F0A91"/>
    <w:rsid w:val="01EF3980"/>
    <w:rsid w:val="02116033"/>
    <w:rsid w:val="02551A35"/>
    <w:rsid w:val="027C0D50"/>
    <w:rsid w:val="02BE582C"/>
    <w:rsid w:val="02C95F7F"/>
    <w:rsid w:val="02D50DC8"/>
    <w:rsid w:val="02E856EB"/>
    <w:rsid w:val="02F76F90"/>
    <w:rsid w:val="03123DCA"/>
    <w:rsid w:val="031A67DB"/>
    <w:rsid w:val="032B09E8"/>
    <w:rsid w:val="03343D40"/>
    <w:rsid w:val="038F541B"/>
    <w:rsid w:val="039D18E6"/>
    <w:rsid w:val="03A74512"/>
    <w:rsid w:val="0417234C"/>
    <w:rsid w:val="04173976"/>
    <w:rsid w:val="04180F6C"/>
    <w:rsid w:val="042A6EF2"/>
    <w:rsid w:val="043A7135"/>
    <w:rsid w:val="04D220CB"/>
    <w:rsid w:val="04E946B7"/>
    <w:rsid w:val="04EB7CC9"/>
    <w:rsid w:val="05104339"/>
    <w:rsid w:val="051200B1"/>
    <w:rsid w:val="05143E2A"/>
    <w:rsid w:val="05976809"/>
    <w:rsid w:val="05CA4074"/>
    <w:rsid w:val="05F6352F"/>
    <w:rsid w:val="05FB28F4"/>
    <w:rsid w:val="05FE23E4"/>
    <w:rsid w:val="06104D21"/>
    <w:rsid w:val="0624009C"/>
    <w:rsid w:val="065C70A0"/>
    <w:rsid w:val="066F6E3E"/>
    <w:rsid w:val="068428E9"/>
    <w:rsid w:val="07A94155"/>
    <w:rsid w:val="07DA5E5C"/>
    <w:rsid w:val="07E20A58"/>
    <w:rsid w:val="08021A30"/>
    <w:rsid w:val="08907C6B"/>
    <w:rsid w:val="08D35DAA"/>
    <w:rsid w:val="08DA0EE6"/>
    <w:rsid w:val="09090D8D"/>
    <w:rsid w:val="091929C4"/>
    <w:rsid w:val="09320D22"/>
    <w:rsid w:val="093A55CE"/>
    <w:rsid w:val="09C66842"/>
    <w:rsid w:val="09D1176D"/>
    <w:rsid w:val="09DE67B4"/>
    <w:rsid w:val="0A382368"/>
    <w:rsid w:val="0A4C69F3"/>
    <w:rsid w:val="0A544CC8"/>
    <w:rsid w:val="0A742C74"/>
    <w:rsid w:val="0AA07F0D"/>
    <w:rsid w:val="0B04224A"/>
    <w:rsid w:val="0B0A5387"/>
    <w:rsid w:val="0B114386"/>
    <w:rsid w:val="0B77037C"/>
    <w:rsid w:val="0B811AED"/>
    <w:rsid w:val="0BAB0AF4"/>
    <w:rsid w:val="0BBC48D3"/>
    <w:rsid w:val="0BD87233"/>
    <w:rsid w:val="0C1C7A68"/>
    <w:rsid w:val="0C395F24"/>
    <w:rsid w:val="0C5B0590"/>
    <w:rsid w:val="0C5B40EC"/>
    <w:rsid w:val="0CA737D5"/>
    <w:rsid w:val="0CE642FD"/>
    <w:rsid w:val="0CE95B9C"/>
    <w:rsid w:val="0CF87B8D"/>
    <w:rsid w:val="0D006A41"/>
    <w:rsid w:val="0D1818F7"/>
    <w:rsid w:val="0D2C5A88"/>
    <w:rsid w:val="0D352B8F"/>
    <w:rsid w:val="0DC14423"/>
    <w:rsid w:val="0DCB704F"/>
    <w:rsid w:val="0E8A2A67"/>
    <w:rsid w:val="0E9812A9"/>
    <w:rsid w:val="0E9E29B6"/>
    <w:rsid w:val="0EAF6971"/>
    <w:rsid w:val="0ED71A24"/>
    <w:rsid w:val="0EE52393"/>
    <w:rsid w:val="0EE7610B"/>
    <w:rsid w:val="0EEA1757"/>
    <w:rsid w:val="0EF820C6"/>
    <w:rsid w:val="0F0D5446"/>
    <w:rsid w:val="0F2C6214"/>
    <w:rsid w:val="0FBD0C1A"/>
    <w:rsid w:val="0FE2329D"/>
    <w:rsid w:val="0FE8038D"/>
    <w:rsid w:val="0FF46D31"/>
    <w:rsid w:val="103E7FAD"/>
    <w:rsid w:val="108300B5"/>
    <w:rsid w:val="108D4A90"/>
    <w:rsid w:val="10AA73F0"/>
    <w:rsid w:val="10D34B99"/>
    <w:rsid w:val="113D606A"/>
    <w:rsid w:val="11405F0C"/>
    <w:rsid w:val="11472E91"/>
    <w:rsid w:val="114F61E9"/>
    <w:rsid w:val="117B6FDE"/>
    <w:rsid w:val="11846E5A"/>
    <w:rsid w:val="11B60016"/>
    <w:rsid w:val="11BF6ECB"/>
    <w:rsid w:val="11E84674"/>
    <w:rsid w:val="11F56D91"/>
    <w:rsid w:val="122338FE"/>
    <w:rsid w:val="12485112"/>
    <w:rsid w:val="12503FC7"/>
    <w:rsid w:val="12577104"/>
    <w:rsid w:val="12677A45"/>
    <w:rsid w:val="12767ED2"/>
    <w:rsid w:val="127E0B34"/>
    <w:rsid w:val="12A12A75"/>
    <w:rsid w:val="12D93FBD"/>
    <w:rsid w:val="12E110C3"/>
    <w:rsid w:val="12ED2C8E"/>
    <w:rsid w:val="12FD254C"/>
    <w:rsid w:val="13180F89"/>
    <w:rsid w:val="13386F35"/>
    <w:rsid w:val="13712447"/>
    <w:rsid w:val="13BA3DEE"/>
    <w:rsid w:val="13EE5846"/>
    <w:rsid w:val="13FF5CA5"/>
    <w:rsid w:val="14423E49"/>
    <w:rsid w:val="14812B5E"/>
    <w:rsid w:val="14994EC6"/>
    <w:rsid w:val="14BA5C43"/>
    <w:rsid w:val="15003E83"/>
    <w:rsid w:val="151E03AD"/>
    <w:rsid w:val="1521278F"/>
    <w:rsid w:val="15475B55"/>
    <w:rsid w:val="156404B5"/>
    <w:rsid w:val="15C745A0"/>
    <w:rsid w:val="15D54F0F"/>
    <w:rsid w:val="15D60C87"/>
    <w:rsid w:val="162A7C31"/>
    <w:rsid w:val="16414353"/>
    <w:rsid w:val="16685D83"/>
    <w:rsid w:val="16781D3E"/>
    <w:rsid w:val="1686445B"/>
    <w:rsid w:val="16C62AAA"/>
    <w:rsid w:val="16CE195E"/>
    <w:rsid w:val="16FE0496"/>
    <w:rsid w:val="170F26A3"/>
    <w:rsid w:val="170F4451"/>
    <w:rsid w:val="171B1048"/>
    <w:rsid w:val="17457E73"/>
    <w:rsid w:val="17A30CA8"/>
    <w:rsid w:val="17CA65CA"/>
    <w:rsid w:val="17CC40F0"/>
    <w:rsid w:val="17E4768B"/>
    <w:rsid w:val="17E53404"/>
    <w:rsid w:val="17F35B20"/>
    <w:rsid w:val="18335F1D"/>
    <w:rsid w:val="184D7D2D"/>
    <w:rsid w:val="186B56B7"/>
    <w:rsid w:val="18784278"/>
    <w:rsid w:val="187D188E"/>
    <w:rsid w:val="188512E0"/>
    <w:rsid w:val="18BF1EA7"/>
    <w:rsid w:val="190B50EC"/>
    <w:rsid w:val="191E097B"/>
    <w:rsid w:val="193C6B05"/>
    <w:rsid w:val="198F3627"/>
    <w:rsid w:val="19A1335A"/>
    <w:rsid w:val="19B17A41"/>
    <w:rsid w:val="19F16090"/>
    <w:rsid w:val="1A212DD9"/>
    <w:rsid w:val="1A512FD2"/>
    <w:rsid w:val="1A611EC6"/>
    <w:rsid w:val="1A9A6727"/>
    <w:rsid w:val="1AC437A4"/>
    <w:rsid w:val="1AFC6A9A"/>
    <w:rsid w:val="1BA82654"/>
    <w:rsid w:val="1BAA299A"/>
    <w:rsid w:val="1BB235FD"/>
    <w:rsid w:val="1BB76E65"/>
    <w:rsid w:val="1BC05D1A"/>
    <w:rsid w:val="1C0F4EF3"/>
    <w:rsid w:val="1CDB7EE7"/>
    <w:rsid w:val="1CE75528"/>
    <w:rsid w:val="1CEB14BC"/>
    <w:rsid w:val="1CFC7225"/>
    <w:rsid w:val="1D047E88"/>
    <w:rsid w:val="1D0B1216"/>
    <w:rsid w:val="1D37200B"/>
    <w:rsid w:val="1D5F77B4"/>
    <w:rsid w:val="1D9751A0"/>
    <w:rsid w:val="1DFE551D"/>
    <w:rsid w:val="1E4F15D7"/>
    <w:rsid w:val="1E636E30"/>
    <w:rsid w:val="1E93171A"/>
    <w:rsid w:val="1EAC6A29"/>
    <w:rsid w:val="1EDD6BE3"/>
    <w:rsid w:val="1EE737B5"/>
    <w:rsid w:val="1F0423C1"/>
    <w:rsid w:val="1F1864E1"/>
    <w:rsid w:val="1F38650F"/>
    <w:rsid w:val="1F737547"/>
    <w:rsid w:val="1FBF278C"/>
    <w:rsid w:val="1FBF453A"/>
    <w:rsid w:val="20875058"/>
    <w:rsid w:val="20A51982"/>
    <w:rsid w:val="20C938C2"/>
    <w:rsid w:val="20D56C61"/>
    <w:rsid w:val="20DD736E"/>
    <w:rsid w:val="212E1977"/>
    <w:rsid w:val="214178FD"/>
    <w:rsid w:val="21A8172A"/>
    <w:rsid w:val="21ED35E0"/>
    <w:rsid w:val="22221687"/>
    <w:rsid w:val="22394A78"/>
    <w:rsid w:val="22484C0B"/>
    <w:rsid w:val="226118D9"/>
    <w:rsid w:val="226D4721"/>
    <w:rsid w:val="22837AA1"/>
    <w:rsid w:val="22910410"/>
    <w:rsid w:val="2298179E"/>
    <w:rsid w:val="22AF4D3A"/>
    <w:rsid w:val="22B478E7"/>
    <w:rsid w:val="231352C9"/>
    <w:rsid w:val="238C6E29"/>
    <w:rsid w:val="239B00EF"/>
    <w:rsid w:val="23C93BD9"/>
    <w:rsid w:val="23E427C1"/>
    <w:rsid w:val="24101808"/>
    <w:rsid w:val="243B4AD7"/>
    <w:rsid w:val="246456B0"/>
    <w:rsid w:val="246D27B7"/>
    <w:rsid w:val="246F29D3"/>
    <w:rsid w:val="249D12EE"/>
    <w:rsid w:val="24AB4C40"/>
    <w:rsid w:val="24AD36A4"/>
    <w:rsid w:val="24B403E6"/>
    <w:rsid w:val="24E30CCB"/>
    <w:rsid w:val="24F1513F"/>
    <w:rsid w:val="24F37160"/>
    <w:rsid w:val="250E44D1"/>
    <w:rsid w:val="25284930"/>
    <w:rsid w:val="253634F0"/>
    <w:rsid w:val="25462914"/>
    <w:rsid w:val="255725C0"/>
    <w:rsid w:val="2584600A"/>
    <w:rsid w:val="25DA3E7C"/>
    <w:rsid w:val="25F02C09"/>
    <w:rsid w:val="25F27417"/>
    <w:rsid w:val="25FA451E"/>
    <w:rsid w:val="262D48F3"/>
    <w:rsid w:val="26393298"/>
    <w:rsid w:val="263E440B"/>
    <w:rsid w:val="26661BB3"/>
    <w:rsid w:val="266C303E"/>
    <w:rsid w:val="269C7383"/>
    <w:rsid w:val="26B02E2F"/>
    <w:rsid w:val="26D02C06"/>
    <w:rsid w:val="26D340FF"/>
    <w:rsid w:val="270F5DA7"/>
    <w:rsid w:val="27182EAE"/>
    <w:rsid w:val="27383550"/>
    <w:rsid w:val="274A5FED"/>
    <w:rsid w:val="27630C0D"/>
    <w:rsid w:val="27871DE1"/>
    <w:rsid w:val="279544FE"/>
    <w:rsid w:val="27962024"/>
    <w:rsid w:val="27A41964"/>
    <w:rsid w:val="27A961FC"/>
    <w:rsid w:val="27C941A8"/>
    <w:rsid w:val="27D12C91"/>
    <w:rsid w:val="27F0464F"/>
    <w:rsid w:val="282E4F76"/>
    <w:rsid w:val="28445F24"/>
    <w:rsid w:val="284657F9"/>
    <w:rsid w:val="28862B34"/>
    <w:rsid w:val="28AA3FD9"/>
    <w:rsid w:val="28AC05A1"/>
    <w:rsid w:val="28E10839"/>
    <w:rsid w:val="28F434A6"/>
    <w:rsid w:val="298E7457"/>
    <w:rsid w:val="29C015DB"/>
    <w:rsid w:val="29D47298"/>
    <w:rsid w:val="29FB2613"/>
    <w:rsid w:val="2A132A62"/>
    <w:rsid w:val="2A64465C"/>
    <w:rsid w:val="2A763ACC"/>
    <w:rsid w:val="2A8645D2"/>
    <w:rsid w:val="2AC11AAE"/>
    <w:rsid w:val="2AE01F34"/>
    <w:rsid w:val="2AE9690F"/>
    <w:rsid w:val="2AED4651"/>
    <w:rsid w:val="2B073965"/>
    <w:rsid w:val="2B146082"/>
    <w:rsid w:val="2B157704"/>
    <w:rsid w:val="2B3B716B"/>
    <w:rsid w:val="2B3E30FF"/>
    <w:rsid w:val="2B746B21"/>
    <w:rsid w:val="2B801021"/>
    <w:rsid w:val="2BA967CA"/>
    <w:rsid w:val="2BFF463C"/>
    <w:rsid w:val="2C097269"/>
    <w:rsid w:val="2C0A4D8F"/>
    <w:rsid w:val="2C167BD8"/>
    <w:rsid w:val="2C3A5674"/>
    <w:rsid w:val="2C3F0EDD"/>
    <w:rsid w:val="2C6E531E"/>
    <w:rsid w:val="2C701096"/>
    <w:rsid w:val="2C732934"/>
    <w:rsid w:val="2C994A91"/>
    <w:rsid w:val="2CDE06F5"/>
    <w:rsid w:val="2CEB696E"/>
    <w:rsid w:val="2CF00429"/>
    <w:rsid w:val="2D3005D4"/>
    <w:rsid w:val="2D371BB4"/>
    <w:rsid w:val="2D581EC1"/>
    <w:rsid w:val="2D7C3A6A"/>
    <w:rsid w:val="2D9D410D"/>
    <w:rsid w:val="2DA60AE7"/>
    <w:rsid w:val="2DE0049D"/>
    <w:rsid w:val="2DE51610"/>
    <w:rsid w:val="2DE674FD"/>
    <w:rsid w:val="2DE97352"/>
    <w:rsid w:val="2DF857E7"/>
    <w:rsid w:val="2E0221C2"/>
    <w:rsid w:val="2E026666"/>
    <w:rsid w:val="2E183793"/>
    <w:rsid w:val="2E5073D1"/>
    <w:rsid w:val="2E667D07"/>
    <w:rsid w:val="2E7330BF"/>
    <w:rsid w:val="2E7A444E"/>
    <w:rsid w:val="2E9A4AF0"/>
    <w:rsid w:val="2EA80FBB"/>
    <w:rsid w:val="2ECB6253"/>
    <w:rsid w:val="2ED84C98"/>
    <w:rsid w:val="2F193C67"/>
    <w:rsid w:val="2F464330"/>
    <w:rsid w:val="2F560A17"/>
    <w:rsid w:val="2F6C5313"/>
    <w:rsid w:val="2FB35E69"/>
    <w:rsid w:val="2FC11C09"/>
    <w:rsid w:val="2FC31E25"/>
    <w:rsid w:val="2FCC2A87"/>
    <w:rsid w:val="2FEA115F"/>
    <w:rsid w:val="302E3742"/>
    <w:rsid w:val="30316D8E"/>
    <w:rsid w:val="303B19BB"/>
    <w:rsid w:val="305B02AF"/>
    <w:rsid w:val="308275EA"/>
    <w:rsid w:val="30CC4D09"/>
    <w:rsid w:val="30E3452C"/>
    <w:rsid w:val="310B3A83"/>
    <w:rsid w:val="311D60B1"/>
    <w:rsid w:val="315947EF"/>
    <w:rsid w:val="316C6351"/>
    <w:rsid w:val="31973569"/>
    <w:rsid w:val="31D9148B"/>
    <w:rsid w:val="31D976DD"/>
    <w:rsid w:val="31E56082"/>
    <w:rsid w:val="31EC7411"/>
    <w:rsid w:val="320F75A3"/>
    <w:rsid w:val="321C4287"/>
    <w:rsid w:val="324059AE"/>
    <w:rsid w:val="32696CB3"/>
    <w:rsid w:val="326A6587"/>
    <w:rsid w:val="32780CA4"/>
    <w:rsid w:val="32786EF6"/>
    <w:rsid w:val="328B5D49"/>
    <w:rsid w:val="32BA1751"/>
    <w:rsid w:val="330662B0"/>
    <w:rsid w:val="331035D3"/>
    <w:rsid w:val="33386686"/>
    <w:rsid w:val="333A41AC"/>
    <w:rsid w:val="334D3EDF"/>
    <w:rsid w:val="334E7C57"/>
    <w:rsid w:val="335039CF"/>
    <w:rsid w:val="33945F51"/>
    <w:rsid w:val="33C57F19"/>
    <w:rsid w:val="33C61EE3"/>
    <w:rsid w:val="33DC1707"/>
    <w:rsid w:val="33FC76B3"/>
    <w:rsid w:val="340551E6"/>
    <w:rsid w:val="341C4A20"/>
    <w:rsid w:val="3422518E"/>
    <w:rsid w:val="344277BC"/>
    <w:rsid w:val="34533777"/>
    <w:rsid w:val="34592D57"/>
    <w:rsid w:val="346D06AE"/>
    <w:rsid w:val="34951FE2"/>
    <w:rsid w:val="349A13A6"/>
    <w:rsid w:val="34AE30A3"/>
    <w:rsid w:val="34B5511B"/>
    <w:rsid w:val="352D221A"/>
    <w:rsid w:val="35366BF5"/>
    <w:rsid w:val="355F614C"/>
    <w:rsid w:val="359A7184"/>
    <w:rsid w:val="359C74CB"/>
    <w:rsid w:val="359F6C70"/>
    <w:rsid w:val="35A149B6"/>
    <w:rsid w:val="36267DDA"/>
    <w:rsid w:val="362A6F38"/>
    <w:rsid w:val="363B0967"/>
    <w:rsid w:val="36511F38"/>
    <w:rsid w:val="36545584"/>
    <w:rsid w:val="36687282"/>
    <w:rsid w:val="36A05164"/>
    <w:rsid w:val="36FA437E"/>
    <w:rsid w:val="37023232"/>
    <w:rsid w:val="371A4A20"/>
    <w:rsid w:val="371F5B92"/>
    <w:rsid w:val="373F7FE3"/>
    <w:rsid w:val="377D6D5D"/>
    <w:rsid w:val="379F6612"/>
    <w:rsid w:val="37BA68D2"/>
    <w:rsid w:val="37EA2644"/>
    <w:rsid w:val="38194CD8"/>
    <w:rsid w:val="382B0567"/>
    <w:rsid w:val="385D5CCC"/>
    <w:rsid w:val="386341A5"/>
    <w:rsid w:val="38912AC0"/>
    <w:rsid w:val="389B393F"/>
    <w:rsid w:val="38DB01DF"/>
    <w:rsid w:val="38EF3C8A"/>
    <w:rsid w:val="390A6D8F"/>
    <w:rsid w:val="3929719C"/>
    <w:rsid w:val="39455658"/>
    <w:rsid w:val="39875C71"/>
    <w:rsid w:val="39A64349"/>
    <w:rsid w:val="39D013C6"/>
    <w:rsid w:val="39D54C2E"/>
    <w:rsid w:val="39D866E1"/>
    <w:rsid w:val="39DC420F"/>
    <w:rsid w:val="39FF1ED5"/>
    <w:rsid w:val="3A3C6A5B"/>
    <w:rsid w:val="3A5B15D7"/>
    <w:rsid w:val="3A601E9C"/>
    <w:rsid w:val="3A751F6D"/>
    <w:rsid w:val="3A7B57D6"/>
    <w:rsid w:val="3A86417A"/>
    <w:rsid w:val="3A900B55"/>
    <w:rsid w:val="3A983C4E"/>
    <w:rsid w:val="3AA007DD"/>
    <w:rsid w:val="3AD924FC"/>
    <w:rsid w:val="3AFA0DF0"/>
    <w:rsid w:val="3B070E17"/>
    <w:rsid w:val="3B3911ED"/>
    <w:rsid w:val="3B5F6EA5"/>
    <w:rsid w:val="3B742225"/>
    <w:rsid w:val="3BD80A06"/>
    <w:rsid w:val="3C0B0DDB"/>
    <w:rsid w:val="3C17152E"/>
    <w:rsid w:val="3C2854E9"/>
    <w:rsid w:val="3C4D6CFE"/>
    <w:rsid w:val="3C65673D"/>
    <w:rsid w:val="3C7626F9"/>
    <w:rsid w:val="3C834E15"/>
    <w:rsid w:val="3C964B49"/>
    <w:rsid w:val="3CAC2AE4"/>
    <w:rsid w:val="3CAF1767"/>
    <w:rsid w:val="3CF53310"/>
    <w:rsid w:val="3D3B2FFA"/>
    <w:rsid w:val="3D4520CB"/>
    <w:rsid w:val="3DD60F75"/>
    <w:rsid w:val="3DF06474"/>
    <w:rsid w:val="3DFB62ED"/>
    <w:rsid w:val="3E2D5039"/>
    <w:rsid w:val="3E3C34CE"/>
    <w:rsid w:val="3E4B5D1A"/>
    <w:rsid w:val="3E693B97"/>
    <w:rsid w:val="3E88226F"/>
    <w:rsid w:val="3EAD1CD6"/>
    <w:rsid w:val="3EAD617A"/>
    <w:rsid w:val="3EBA2645"/>
    <w:rsid w:val="3EC62D97"/>
    <w:rsid w:val="3EF43DA9"/>
    <w:rsid w:val="3EF67B21"/>
    <w:rsid w:val="3F3441A5"/>
    <w:rsid w:val="3F400D9C"/>
    <w:rsid w:val="3F4168C2"/>
    <w:rsid w:val="3F446ADE"/>
    <w:rsid w:val="3F4723DB"/>
    <w:rsid w:val="3F823162"/>
    <w:rsid w:val="3FF83425"/>
    <w:rsid w:val="40145EF0"/>
    <w:rsid w:val="40183AC7"/>
    <w:rsid w:val="40185875"/>
    <w:rsid w:val="401E0F79"/>
    <w:rsid w:val="402C5F2A"/>
    <w:rsid w:val="40534AFF"/>
    <w:rsid w:val="405E3BCF"/>
    <w:rsid w:val="40DE6ABE"/>
    <w:rsid w:val="40F05FFA"/>
    <w:rsid w:val="40F260C6"/>
    <w:rsid w:val="40FB7670"/>
    <w:rsid w:val="41140732"/>
    <w:rsid w:val="415C79E3"/>
    <w:rsid w:val="417E204F"/>
    <w:rsid w:val="419D24D5"/>
    <w:rsid w:val="41A25D3E"/>
    <w:rsid w:val="41AF1D77"/>
    <w:rsid w:val="41B31CF9"/>
    <w:rsid w:val="41CF603E"/>
    <w:rsid w:val="41E5122F"/>
    <w:rsid w:val="42187DAE"/>
    <w:rsid w:val="42310E70"/>
    <w:rsid w:val="423261F5"/>
    <w:rsid w:val="425828A0"/>
    <w:rsid w:val="428E1E1E"/>
    <w:rsid w:val="42EF4FB3"/>
    <w:rsid w:val="42F00D2B"/>
    <w:rsid w:val="432B1D63"/>
    <w:rsid w:val="432D1637"/>
    <w:rsid w:val="437B05F4"/>
    <w:rsid w:val="43A044FF"/>
    <w:rsid w:val="43BE4985"/>
    <w:rsid w:val="43CF26EE"/>
    <w:rsid w:val="441E71D2"/>
    <w:rsid w:val="447C0AC8"/>
    <w:rsid w:val="448F76A6"/>
    <w:rsid w:val="44AC2A30"/>
    <w:rsid w:val="44B3209C"/>
    <w:rsid w:val="44BA15F0"/>
    <w:rsid w:val="44BF09B5"/>
    <w:rsid w:val="44E421C9"/>
    <w:rsid w:val="44EC107E"/>
    <w:rsid w:val="450308A1"/>
    <w:rsid w:val="45244CBC"/>
    <w:rsid w:val="45464C32"/>
    <w:rsid w:val="457774EE"/>
    <w:rsid w:val="45A007E6"/>
    <w:rsid w:val="46041249"/>
    <w:rsid w:val="46317690"/>
    <w:rsid w:val="465F5FAB"/>
    <w:rsid w:val="46767799"/>
    <w:rsid w:val="46BC33FE"/>
    <w:rsid w:val="46DF0E9A"/>
    <w:rsid w:val="470D3C59"/>
    <w:rsid w:val="47136D96"/>
    <w:rsid w:val="471B1B48"/>
    <w:rsid w:val="47A125F4"/>
    <w:rsid w:val="47C85DD2"/>
    <w:rsid w:val="47CF53B3"/>
    <w:rsid w:val="47D6229D"/>
    <w:rsid w:val="483416BA"/>
    <w:rsid w:val="483B2A48"/>
    <w:rsid w:val="4840005F"/>
    <w:rsid w:val="48684EBF"/>
    <w:rsid w:val="48945CB4"/>
    <w:rsid w:val="491A265E"/>
    <w:rsid w:val="491F1A22"/>
    <w:rsid w:val="49415E3C"/>
    <w:rsid w:val="49441489"/>
    <w:rsid w:val="49667651"/>
    <w:rsid w:val="49975A5C"/>
    <w:rsid w:val="49AD1724"/>
    <w:rsid w:val="4A037596"/>
    <w:rsid w:val="4A133393"/>
    <w:rsid w:val="4A1D0657"/>
    <w:rsid w:val="4A2A68D0"/>
    <w:rsid w:val="4A4F4193"/>
    <w:rsid w:val="4A7638C4"/>
    <w:rsid w:val="4A9E7607"/>
    <w:rsid w:val="4AA246B9"/>
    <w:rsid w:val="4ACD5E73"/>
    <w:rsid w:val="4B1A06F3"/>
    <w:rsid w:val="4B332897"/>
    <w:rsid w:val="4B5160DF"/>
    <w:rsid w:val="4B6202EC"/>
    <w:rsid w:val="4B8D35BB"/>
    <w:rsid w:val="4B985ABC"/>
    <w:rsid w:val="4BB328F5"/>
    <w:rsid w:val="4BBD0F49"/>
    <w:rsid w:val="4BEE392E"/>
    <w:rsid w:val="4C07336D"/>
    <w:rsid w:val="4C237A7B"/>
    <w:rsid w:val="4C31133A"/>
    <w:rsid w:val="4C46376A"/>
    <w:rsid w:val="4C602A7D"/>
    <w:rsid w:val="4C6D0CF6"/>
    <w:rsid w:val="4C856040"/>
    <w:rsid w:val="4CBB78B1"/>
    <w:rsid w:val="4CE74F4D"/>
    <w:rsid w:val="4D31441A"/>
    <w:rsid w:val="4D3D691B"/>
    <w:rsid w:val="4D4E0B28"/>
    <w:rsid w:val="4D6B106D"/>
    <w:rsid w:val="4D9C1893"/>
    <w:rsid w:val="4DCD7C9F"/>
    <w:rsid w:val="4DF06083"/>
    <w:rsid w:val="4E025613"/>
    <w:rsid w:val="4E5B34FC"/>
    <w:rsid w:val="4E653956"/>
    <w:rsid w:val="4E9E788D"/>
    <w:rsid w:val="4EDD2163"/>
    <w:rsid w:val="4EF63225"/>
    <w:rsid w:val="4F014E3C"/>
    <w:rsid w:val="4F0C574A"/>
    <w:rsid w:val="4F18319B"/>
    <w:rsid w:val="4F3A5808"/>
    <w:rsid w:val="4F427227"/>
    <w:rsid w:val="4F443F90"/>
    <w:rsid w:val="4F786330"/>
    <w:rsid w:val="4FBE7E92"/>
    <w:rsid w:val="4FCB6460"/>
    <w:rsid w:val="4FD669B8"/>
    <w:rsid w:val="4FD735EE"/>
    <w:rsid w:val="4FE47521"/>
    <w:rsid w:val="5007668D"/>
    <w:rsid w:val="503404A9"/>
    <w:rsid w:val="503F29AA"/>
    <w:rsid w:val="505C7A00"/>
    <w:rsid w:val="505E1742"/>
    <w:rsid w:val="50744D49"/>
    <w:rsid w:val="50746AF7"/>
    <w:rsid w:val="50772144"/>
    <w:rsid w:val="508F3931"/>
    <w:rsid w:val="50903205"/>
    <w:rsid w:val="50CC7EFA"/>
    <w:rsid w:val="50CF02A4"/>
    <w:rsid w:val="517F39A6"/>
    <w:rsid w:val="51820702"/>
    <w:rsid w:val="51905BB3"/>
    <w:rsid w:val="519B00B4"/>
    <w:rsid w:val="51A52CE0"/>
    <w:rsid w:val="51AC22C1"/>
    <w:rsid w:val="51C55131"/>
    <w:rsid w:val="51DE0653"/>
    <w:rsid w:val="522462FB"/>
    <w:rsid w:val="52304CA0"/>
    <w:rsid w:val="524D13AE"/>
    <w:rsid w:val="526B217C"/>
    <w:rsid w:val="5272350A"/>
    <w:rsid w:val="527A5F1B"/>
    <w:rsid w:val="528F7C18"/>
    <w:rsid w:val="52917701"/>
    <w:rsid w:val="5294522F"/>
    <w:rsid w:val="52AA2CA4"/>
    <w:rsid w:val="52BE04FE"/>
    <w:rsid w:val="53456529"/>
    <w:rsid w:val="539128D9"/>
    <w:rsid w:val="5394300C"/>
    <w:rsid w:val="53AE0572"/>
    <w:rsid w:val="53D8114B"/>
    <w:rsid w:val="53E61ABA"/>
    <w:rsid w:val="5437274A"/>
    <w:rsid w:val="546C2DDA"/>
    <w:rsid w:val="548D0188"/>
    <w:rsid w:val="54EB4BF6"/>
    <w:rsid w:val="54EF466F"/>
    <w:rsid w:val="54F2448F"/>
    <w:rsid w:val="551B5793"/>
    <w:rsid w:val="5563713A"/>
    <w:rsid w:val="5583158B"/>
    <w:rsid w:val="55840945"/>
    <w:rsid w:val="559317CE"/>
    <w:rsid w:val="559B68D4"/>
    <w:rsid w:val="55A7171D"/>
    <w:rsid w:val="55B274B2"/>
    <w:rsid w:val="55B83D89"/>
    <w:rsid w:val="55C53951"/>
    <w:rsid w:val="56170651"/>
    <w:rsid w:val="562F7C6B"/>
    <w:rsid w:val="56494582"/>
    <w:rsid w:val="56552F27"/>
    <w:rsid w:val="568D0913"/>
    <w:rsid w:val="56B7773E"/>
    <w:rsid w:val="56BA778B"/>
    <w:rsid w:val="56C63E25"/>
    <w:rsid w:val="56CD51B3"/>
    <w:rsid w:val="56D54068"/>
    <w:rsid w:val="56EA18C1"/>
    <w:rsid w:val="57032983"/>
    <w:rsid w:val="572052E3"/>
    <w:rsid w:val="573B211D"/>
    <w:rsid w:val="576553EC"/>
    <w:rsid w:val="57684EDC"/>
    <w:rsid w:val="576B22D6"/>
    <w:rsid w:val="5789732C"/>
    <w:rsid w:val="579D6934"/>
    <w:rsid w:val="57AA2DFF"/>
    <w:rsid w:val="57F8000E"/>
    <w:rsid w:val="57FF75EE"/>
    <w:rsid w:val="5805272B"/>
    <w:rsid w:val="582D051B"/>
    <w:rsid w:val="58354DBE"/>
    <w:rsid w:val="58B629C6"/>
    <w:rsid w:val="58B73A25"/>
    <w:rsid w:val="58E9778D"/>
    <w:rsid w:val="59012EF2"/>
    <w:rsid w:val="591A3FB4"/>
    <w:rsid w:val="593B28A8"/>
    <w:rsid w:val="59462FFB"/>
    <w:rsid w:val="59943D66"/>
    <w:rsid w:val="59A73A9A"/>
    <w:rsid w:val="59AE7365"/>
    <w:rsid w:val="5A02402A"/>
    <w:rsid w:val="5A186745"/>
    <w:rsid w:val="5A1D3D5C"/>
    <w:rsid w:val="5A1F5EE9"/>
    <w:rsid w:val="5A407A4A"/>
    <w:rsid w:val="5A605CD0"/>
    <w:rsid w:val="5A6C6A91"/>
    <w:rsid w:val="5A9631C1"/>
    <w:rsid w:val="5A9C7376"/>
    <w:rsid w:val="5AA75554"/>
    <w:rsid w:val="5B3A26EB"/>
    <w:rsid w:val="5B3B5AC3"/>
    <w:rsid w:val="5B4672E2"/>
    <w:rsid w:val="5B5437AD"/>
    <w:rsid w:val="5B8A5421"/>
    <w:rsid w:val="5BFD7B28"/>
    <w:rsid w:val="5C036F81"/>
    <w:rsid w:val="5C0A0310"/>
    <w:rsid w:val="5C0A6562"/>
    <w:rsid w:val="5C343E77"/>
    <w:rsid w:val="5C497FE7"/>
    <w:rsid w:val="5C50666A"/>
    <w:rsid w:val="5C735EB5"/>
    <w:rsid w:val="5C8400C2"/>
    <w:rsid w:val="5C9D2F32"/>
    <w:rsid w:val="5CDD77D2"/>
    <w:rsid w:val="5DA86032"/>
    <w:rsid w:val="5E0F378C"/>
    <w:rsid w:val="5E341D32"/>
    <w:rsid w:val="5E5D0288"/>
    <w:rsid w:val="5E5F5FFC"/>
    <w:rsid w:val="5E6A153A"/>
    <w:rsid w:val="5EA902B4"/>
    <w:rsid w:val="5EA90415"/>
    <w:rsid w:val="5EB822A5"/>
    <w:rsid w:val="5ECB647C"/>
    <w:rsid w:val="5ED03A93"/>
    <w:rsid w:val="5ED35331"/>
    <w:rsid w:val="5F2E6A0B"/>
    <w:rsid w:val="5F3202A9"/>
    <w:rsid w:val="5F3C6B9F"/>
    <w:rsid w:val="5F5C0E82"/>
    <w:rsid w:val="5F6169B5"/>
    <w:rsid w:val="5F71708B"/>
    <w:rsid w:val="5F8328B3"/>
    <w:rsid w:val="5FBE7D8F"/>
    <w:rsid w:val="5FC5111D"/>
    <w:rsid w:val="5FE3195F"/>
    <w:rsid w:val="5FFC08B7"/>
    <w:rsid w:val="60255718"/>
    <w:rsid w:val="602867A0"/>
    <w:rsid w:val="602C2F4B"/>
    <w:rsid w:val="604E5DE1"/>
    <w:rsid w:val="60A56859"/>
    <w:rsid w:val="60B151FE"/>
    <w:rsid w:val="60BD3BA3"/>
    <w:rsid w:val="60C018E5"/>
    <w:rsid w:val="60CF1FB5"/>
    <w:rsid w:val="60E21A46"/>
    <w:rsid w:val="60F4333C"/>
    <w:rsid w:val="61284CC2"/>
    <w:rsid w:val="612C6F7A"/>
    <w:rsid w:val="614D13CA"/>
    <w:rsid w:val="61785D1C"/>
    <w:rsid w:val="61826B9A"/>
    <w:rsid w:val="61834DEC"/>
    <w:rsid w:val="61CB6793"/>
    <w:rsid w:val="61E17D65"/>
    <w:rsid w:val="61E37639"/>
    <w:rsid w:val="61F21F72"/>
    <w:rsid w:val="620B4DE2"/>
    <w:rsid w:val="6223212B"/>
    <w:rsid w:val="628030DA"/>
    <w:rsid w:val="62D90A3C"/>
    <w:rsid w:val="62DB0C58"/>
    <w:rsid w:val="62F835B8"/>
    <w:rsid w:val="62FD472A"/>
    <w:rsid w:val="62FF6395"/>
    <w:rsid w:val="63387E58"/>
    <w:rsid w:val="63495BC1"/>
    <w:rsid w:val="634C56B2"/>
    <w:rsid w:val="635D153E"/>
    <w:rsid w:val="636C7B02"/>
    <w:rsid w:val="6377272F"/>
    <w:rsid w:val="638E5CCA"/>
    <w:rsid w:val="639A01CB"/>
    <w:rsid w:val="63A64DC2"/>
    <w:rsid w:val="63B514A9"/>
    <w:rsid w:val="63C65464"/>
    <w:rsid w:val="63EE6769"/>
    <w:rsid w:val="641726EB"/>
    <w:rsid w:val="649B41FB"/>
    <w:rsid w:val="64B41760"/>
    <w:rsid w:val="64BE438D"/>
    <w:rsid w:val="64DD4813"/>
    <w:rsid w:val="64E262CE"/>
    <w:rsid w:val="651346D9"/>
    <w:rsid w:val="65336B29"/>
    <w:rsid w:val="653603C7"/>
    <w:rsid w:val="656A1E1F"/>
    <w:rsid w:val="65962C14"/>
    <w:rsid w:val="65A05841"/>
    <w:rsid w:val="65B17A4E"/>
    <w:rsid w:val="65BC08CD"/>
    <w:rsid w:val="65CB4FB4"/>
    <w:rsid w:val="65E676F8"/>
    <w:rsid w:val="660D737A"/>
    <w:rsid w:val="661701F9"/>
    <w:rsid w:val="66331334"/>
    <w:rsid w:val="6659436D"/>
    <w:rsid w:val="66611474"/>
    <w:rsid w:val="66650F64"/>
    <w:rsid w:val="668F1B3D"/>
    <w:rsid w:val="66D343B7"/>
    <w:rsid w:val="67204E8B"/>
    <w:rsid w:val="67A85312"/>
    <w:rsid w:val="67AE693B"/>
    <w:rsid w:val="67D52B97"/>
    <w:rsid w:val="67D77C40"/>
    <w:rsid w:val="67F85E08"/>
    <w:rsid w:val="685A617B"/>
    <w:rsid w:val="68955405"/>
    <w:rsid w:val="68C301C4"/>
    <w:rsid w:val="68CF0681"/>
    <w:rsid w:val="691E189E"/>
    <w:rsid w:val="692D388F"/>
    <w:rsid w:val="69360996"/>
    <w:rsid w:val="696077C1"/>
    <w:rsid w:val="69B95123"/>
    <w:rsid w:val="69C67F6C"/>
    <w:rsid w:val="6A2B6021"/>
    <w:rsid w:val="6A2E5B11"/>
    <w:rsid w:val="6A4E7F61"/>
    <w:rsid w:val="6A90057A"/>
    <w:rsid w:val="6AA70E28"/>
    <w:rsid w:val="6AF02DC7"/>
    <w:rsid w:val="6AF40B09"/>
    <w:rsid w:val="6AFE1987"/>
    <w:rsid w:val="6B596BBE"/>
    <w:rsid w:val="6B881251"/>
    <w:rsid w:val="6B910106"/>
    <w:rsid w:val="6BA51E03"/>
    <w:rsid w:val="6BC6178D"/>
    <w:rsid w:val="6BD10B22"/>
    <w:rsid w:val="6BF40694"/>
    <w:rsid w:val="6C1A00FB"/>
    <w:rsid w:val="6C827A70"/>
    <w:rsid w:val="6C9077A7"/>
    <w:rsid w:val="6CB87914"/>
    <w:rsid w:val="6CC12C6C"/>
    <w:rsid w:val="6CCE6560"/>
    <w:rsid w:val="6CCE7137"/>
    <w:rsid w:val="6CD3159B"/>
    <w:rsid w:val="6CF03552"/>
    <w:rsid w:val="6D090AE2"/>
    <w:rsid w:val="6D2F407A"/>
    <w:rsid w:val="6D943EDD"/>
    <w:rsid w:val="6D967C55"/>
    <w:rsid w:val="6DAC7479"/>
    <w:rsid w:val="6E503109"/>
    <w:rsid w:val="6E5A5127"/>
    <w:rsid w:val="6E602011"/>
    <w:rsid w:val="6E6C6C08"/>
    <w:rsid w:val="6E895A0C"/>
    <w:rsid w:val="6E963C85"/>
    <w:rsid w:val="6EBC193D"/>
    <w:rsid w:val="6EC771CA"/>
    <w:rsid w:val="6F176B74"/>
    <w:rsid w:val="6F21311C"/>
    <w:rsid w:val="6F435BBB"/>
    <w:rsid w:val="6F5C4ECE"/>
    <w:rsid w:val="6F8A1A3C"/>
    <w:rsid w:val="6FA32AFD"/>
    <w:rsid w:val="6FB04DC2"/>
    <w:rsid w:val="6FC52A74"/>
    <w:rsid w:val="6FD9651F"/>
    <w:rsid w:val="700F0193"/>
    <w:rsid w:val="702552C0"/>
    <w:rsid w:val="705B5186"/>
    <w:rsid w:val="706C0F43"/>
    <w:rsid w:val="70981F36"/>
    <w:rsid w:val="70A22DB5"/>
    <w:rsid w:val="70F76C5D"/>
    <w:rsid w:val="710B6BAC"/>
    <w:rsid w:val="71264D56"/>
    <w:rsid w:val="71265794"/>
    <w:rsid w:val="7164006A"/>
    <w:rsid w:val="71BC1C54"/>
    <w:rsid w:val="71C07997"/>
    <w:rsid w:val="71C823A7"/>
    <w:rsid w:val="71ED0060"/>
    <w:rsid w:val="71FE04BF"/>
    <w:rsid w:val="722E4900"/>
    <w:rsid w:val="72885F4C"/>
    <w:rsid w:val="72AB5F51"/>
    <w:rsid w:val="72C76B03"/>
    <w:rsid w:val="72E86F6F"/>
    <w:rsid w:val="7346211D"/>
    <w:rsid w:val="73BC5F3C"/>
    <w:rsid w:val="74024296"/>
    <w:rsid w:val="74055B35"/>
    <w:rsid w:val="74233EB9"/>
    <w:rsid w:val="743635CC"/>
    <w:rsid w:val="743D52CE"/>
    <w:rsid w:val="74597C2E"/>
    <w:rsid w:val="747E1443"/>
    <w:rsid w:val="74872D28"/>
    <w:rsid w:val="74B9247B"/>
    <w:rsid w:val="74CE4179"/>
    <w:rsid w:val="74EE0377"/>
    <w:rsid w:val="751C3136"/>
    <w:rsid w:val="75504B8E"/>
    <w:rsid w:val="757C5983"/>
    <w:rsid w:val="75CD4430"/>
    <w:rsid w:val="76124539"/>
    <w:rsid w:val="761C0F14"/>
    <w:rsid w:val="766D79C1"/>
    <w:rsid w:val="76760624"/>
    <w:rsid w:val="769B008A"/>
    <w:rsid w:val="76B37ACA"/>
    <w:rsid w:val="76CD7545"/>
    <w:rsid w:val="76DB492B"/>
    <w:rsid w:val="77004407"/>
    <w:rsid w:val="77132317"/>
    <w:rsid w:val="7770053A"/>
    <w:rsid w:val="7782124A"/>
    <w:rsid w:val="77B02729"/>
    <w:rsid w:val="77B77146"/>
    <w:rsid w:val="77D23F80"/>
    <w:rsid w:val="77E872FF"/>
    <w:rsid w:val="780A196C"/>
    <w:rsid w:val="780B7492"/>
    <w:rsid w:val="781B5927"/>
    <w:rsid w:val="7837771B"/>
    <w:rsid w:val="78874D6A"/>
    <w:rsid w:val="78AD0549"/>
    <w:rsid w:val="78B81351"/>
    <w:rsid w:val="78D70769"/>
    <w:rsid w:val="78E71CAD"/>
    <w:rsid w:val="78EA354B"/>
    <w:rsid w:val="79334EF2"/>
    <w:rsid w:val="7936053E"/>
    <w:rsid w:val="795C61F7"/>
    <w:rsid w:val="7961380D"/>
    <w:rsid w:val="798412AA"/>
    <w:rsid w:val="79982FA7"/>
    <w:rsid w:val="79B0209F"/>
    <w:rsid w:val="7A4A42A1"/>
    <w:rsid w:val="7A8B6668"/>
    <w:rsid w:val="7AB23BF5"/>
    <w:rsid w:val="7AB61937"/>
    <w:rsid w:val="7AB931D5"/>
    <w:rsid w:val="7ABB0CFB"/>
    <w:rsid w:val="7ADB139D"/>
    <w:rsid w:val="7AF8440D"/>
    <w:rsid w:val="7B1E128A"/>
    <w:rsid w:val="7B3F7AAB"/>
    <w:rsid w:val="7B4C4049"/>
    <w:rsid w:val="7B62386D"/>
    <w:rsid w:val="7B9003DA"/>
    <w:rsid w:val="7B914152"/>
    <w:rsid w:val="7BC260B9"/>
    <w:rsid w:val="7BC66B1D"/>
    <w:rsid w:val="7BD32074"/>
    <w:rsid w:val="7BF10DD0"/>
    <w:rsid w:val="7C1508DF"/>
    <w:rsid w:val="7C1D7794"/>
    <w:rsid w:val="7C5036C5"/>
    <w:rsid w:val="7C55517F"/>
    <w:rsid w:val="7C5C02BC"/>
    <w:rsid w:val="7C647170"/>
    <w:rsid w:val="7C9712F4"/>
    <w:rsid w:val="7CA53A11"/>
    <w:rsid w:val="7CA7266F"/>
    <w:rsid w:val="7CBE2EE8"/>
    <w:rsid w:val="7CD73DE6"/>
    <w:rsid w:val="7CDD764F"/>
    <w:rsid w:val="7CDE20B3"/>
    <w:rsid w:val="7CF229CE"/>
    <w:rsid w:val="7CF80162"/>
    <w:rsid w:val="7D1D5C9D"/>
    <w:rsid w:val="7D352F69"/>
    <w:rsid w:val="7D957F29"/>
    <w:rsid w:val="7D99109C"/>
    <w:rsid w:val="7DA77C5D"/>
    <w:rsid w:val="7DAC5273"/>
    <w:rsid w:val="7DBB7264"/>
    <w:rsid w:val="7DDB16B4"/>
    <w:rsid w:val="7DEB5D9B"/>
    <w:rsid w:val="7DF033B2"/>
    <w:rsid w:val="7DFA7D8C"/>
    <w:rsid w:val="7E192908"/>
    <w:rsid w:val="7E596D16"/>
    <w:rsid w:val="7E5E47BF"/>
    <w:rsid w:val="7E6A3164"/>
    <w:rsid w:val="7E6E27B4"/>
    <w:rsid w:val="7E7E09BD"/>
    <w:rsid w:val="7ED56104"/>
    <w:rsid w:val="7EF50554"/>
    <w:rsid w:val="7F111831"/>
    <w:rsid w:val="7F4339B5"/>
    <w:rsid w:val="7F5636E8"/>
    <w:rsid w:val="7F567BAB"/>
    <w:rsid w:val="7FC93EBA"/>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autoRedefine/>
    <w:unhideWhenUsed/>
    <w:qFormat/>
    <w:uiPriority w:val="0"/>
    <w:pPr>
      <w:spacing w:after="120"/>
    </w:pPr>
  </w:style>
  <w:style w:type="paragraph" w:styleId="5">
    <w:name w:val="Plain Text"/>
    <w:basedOn w:val="1"/>
    <w:link w:val="17"/>
    <w:autoRedefine/>
    <w:qFormat/>
    <w:uiPriority w:val="0"/>
    <w:rPr>
      <w:rFonts w:ascii="宋体" w:hAnsi="Courier New" w:eastAsia="宋体"/>
      <w:kern w:val="0"/>
      <w:sz w:val="20"/>
      <w:szCs w:val="20"/>
    </w:rPr>
  </w:style>
  <w:style w:type="paragraph" w:styleId="6">
    <w:name w:val="footer"/>
    <w:basedOn w:val="1"/>
    <w:link w:val="12"/>
    <w:autoRedefine/>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next w:val="1"/>
    <w:link w:val="16"/>
    <w:autoRedefine/>
    <w:qFormat/>
    <w:uiPriority w:val="10"/>
    <w:pPr>
      <w:spacing w:before="240" w:after="60"/>
      <w:jc w:val="center"/>
      <w:outlineLvl w:val="0"/>
    </w:pPr>
    <w:rPr>
      <w:rFonts w:asciiTheme="majorHAnsi" w:hAnsiTheme="majorHAnsi" w:eastAsiaTheme="majorEastAsia" w:cstheme="majorBidi"/>
      <w:b/>
      <w:bCs/>
      <w:sz w:val="32"/>
      <w:szCs w:val="32"/>
    </w:rPr>
  </w:style>
  <w:style w:type="character" w:customStyle="1" w:styleId="11">
    <w:name w:val="页眉 字符"/>
    <w:basedOn w:val="10"/>
    <w:link w:val="7"/>
    <w:autoRedefine/>
    <w:qFormat/>
    <w:uiPriority w:val="99"/>
    <w:rPr>
      <w:sz w:val="18"/>
      <w:szCs w:val="18"/>
    </w:rPr>
  </w:style>
  <w:style w:type="character" w:customStyle="1" w:styleId="12">
    <w:name w:val="页脚 字符"/>
    <w:basedOn w:val="10"/>
    <w:link w:val="6"/>
    <w:autoRedefine/>
    <w:qFormat/>
    <w:uiPriority w:val="99"/>
    <w:rPr>
      <w:sz w:val="18"/>
      <w:szCs w:val="18"/>
    </w:rPr>
  </w:style>
  <w:style w:type="paragraph" w:styleId="13">
    <w:name w:val="List Paragraph"/>
    <w:basedOn w:val="1"/>
    <w:autoRedefine/>
    <w:qFormat/>
    <w:uiPriority w:val="34"/>
    <w:pPr>
      <w:ind w:firstLine="420" w:firstLineChars="200"/>
    </w:pPr>
  </w:style>
  <w:style w:type="character" w:customStyle="1" w:styleId="14">
    <w:name w:val="标题 1 字符"/>
    <w:basedOn w:val="10"/>
    <w:link w:val="2"/>
    <w:autoRedefine/>
    <w:qFormat/>
    <w:uiPriority w:val="9"/>
    <w:rPr>
      <w:b/>
      <w:bCs/>
      <w:kern w:val="44"/>
      <w:sz w:val="44"/>
      <w:szCs w:val="44"/>
    </w:rPr>
  </w:style>
  <w:style w:type="character" w:customStyle="1" w:styleId="15">
    <w:name w:val="标题 2 字符"/>
    <w:basedOn w:val="10"/>
    <w:link w:val="3"/>
    <w:autoRedefine/>
    <w:qFormat/>
    <w:uiPriority w:val="9"/>
    <w:rPr>
      <w:rFonts w:asciiTheme="majorHAnsi" w:hAnsiTheme="majorHAnsi" w:eastAsiaTheme="majorEastAsia" w:cstheme="majorBidi"/>
      <w:b/>
      <w:bCs/>
      <w:sz w:val="32"/>
      <w:szCs w:val="32"/>
    </w:rPr>
  </w:style>
  <w:style w:type="character" w:customStyle="1" w:styleId="16">
    <w:name w:val="标题 字符"/>
    <w:basedOn w:val="10"/>
    <w:link w:val="8"/>
    <w:autoRedefine/>
    <w:qFormat/>
    <w:uiPriority w:val="10"/>
    <w:rPr>
      <w:rFonts w:asciiTheme="majorHAnsi" w:hAnsiTheme="majorHAnsi" w:eastAsiaTheme="majorEastAsia" w:cstheme="majorBidi"/>
      <w:b/>
      <w:bCs/>
      <w:sz w:val="32"/>
      <w:szCs w:val="32"/>
    </w:rPr>
  </w:style>
  <w:style w:type="character" w:customStyle="1" w:styleId="17">
    <w:name w:val="纯文本 字符"/>
    <w:link w:val="5"/>
    <w:autoRedefine/>
    <w:qFormat/>
    <w:uiPriority w:val="0"/>
    <w:rPr>
      <w:rFonts w:ascii="宋体" w:hAnsi="Courier New" w:eastAsia="宋体"/>
    </w:rPr>
  </w:style>
  <w:style w:type="character" w:customStyle="1" w:styleId="18">
    <w:name w:val="纯文本 字符1"/>
    <w:basedOn w:val="10"/>
    <w:semiHidden/>
    <w:qFormat/>
    <w:uiPriority w:val="99"/>
    <w:rPr>
      <w:rFonts w:hAnsi="Courier New" w:cs="Courier New" w:asciiTheme="minorEastAsia"/>
      <w:kern w:val="2"/>
      <w:sz w:val="21"/>
      <w:szCs w:val="22"/>
    </w:rPr>
  </w:style>
  <w:style w:type="paragraph" w:customStyle="1" w:styleId="19">
    <w:name w:val="列表段落1"/>
    <w:basedOn w:val="1"/>
    <w:autoRedefine/>
    <w:qFormat/>
    <w:uiPriority w:val="99"/>
    <w:pPr>
      <w:ind w:firstLine="420" w:firstLineChars="200"/>
    </w:p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2054</Words>
  <Characters>2104</Characters>
  <Lines>7</Lines>
  <Paragraphs>2</Paragraphs>
  <TotalTime>4</TotalTime>
  <ScaleCrop>false</ScaleCrop>
  <LinksUpToDate>false</LinksUpToDate>
  <CharactersWithSpaces>2112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2020-08-11T01:31:00Z</dcterms:created>
  <dc:creator>weizhi</dc:creator>
  <cp:lastModifiedBy>呼拉拉</cp:lastModifiedBy>
  <dcterms:modified xsi:type="dcterms:W3CDTF">2026-05-12T02:26:05Z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881BBA5CAA5247C8ACEFB1617123603C_13</vt:lpwstr>
  </property>
  <property fmtid="{D5CDD505-2E9C-101B-9397-08002B2CF9AE}" pid="4" name="KSOTemplateDocerSaveRecord">
    <vt:lpwstr>eyJoZGlkIjoiMzAxMTM4NTQ1ZjBlYjk1ZDQ2YzNlMGY1NTU2ZWQ2ODQiLCJ1c2VySWQiOiI1MjY1NDQ4MjMifQ==</vt:lpwstr>
  </property>
</Properties>
</file>