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043E2A">
      <w:pPr>
        <w:jc w:val="center"/>
        <w:rPr>
          <w:rFonts w:hint="eastAsia" w:asciiTheme="minorEastAsia" w:hAnsiTheme="minorEastAsia" w:eastAsiaTheme="minorEastAsia"/>
          <w:b/>
          <w:bCs/>
          <w:szCs w:val="21"/>
          <w:highlight w:val="none"/>
        </w:rPr>
      </w:pPr>
    </w:p>
    <w:p w14:paraId="70BC9696">
      <w:pPr>
        <w:jc w:val="center"/>
        <w:rPr>
          <w:rFonts w:hint="eastAsia" w:asciiTheme="minorEastAsia" w:hAnsiTheme="minorEastAsia" w:eastAsiaTheme="minorEastAsia"/>
          <w:b/>
          <w:bCs/>
          <w:sz w:val="36"/>
          <w:szCs w:val="36"/>
          <w:highlight w:val="none"/>
          <w:lang w:eastAsia="zh-CN"/>
        </w:rPr>
      </w:pPr>
      <w:r>
        <w:rPr>
          <w:rFonts w:hint="eastAsia" w:asciiTheme="minorEastAsia" w:hAnsiTheme="minorEastAsia" w:eastAsiaTheme="minorEastAsia"/>
          <w:b/>
          <w:bCs/>
          <w:sz w:val="36"/>
          <w:szCs w:val="36"/>
          <w:highlight w:val="none"/>
        </w:rPr>
        <w:t>中山市人民医院数据中心运维服务项目需求书</w:t>
      </w:r>
      <w:bookmarkStart w:id="13" w:name="_GoBack"/>
      <w:bookmarkEnd w:id="13"/>
    </w:p>
    <w:p w14:paraId="1032D049">
      <w:pPr>
        <w:rPr>
          <w:rFonts w:hint="eastAsia" w:asciiTheme="minorEastAsia" w:hAnsiTheme="minorEastAsia" w:eastAsiaTheme="minorEastAsia"/>
          <w:szCs w:val="21"/>
          <w:highlight w:val="none"/>
        </w:rPr>
      </w:pPr>
    </w:p>
    <w:p w14:paraId="7D8FB905">
      <w:pPr>
        <w:pStyle w:val="4"/>
        <w:ind w:left="400"/>
        <w:rPr>
          <w:rFonts w:hint="eastAsia" w:asciiTheme="minorEastAsia" w:hAnsiTheme="minorEastAsia" w:eastAsiaTheme="minorEastAsia"/>
          <w:highlight w:val="none"/>
        </w:rPr>
      </w:pPr>
      <w:bookmarkStart w:id="0" w:name="_Toc3562"/>
      <w:r>
        <w:rPr>
          <w:rFonts w:hint="eastAsia" w:asciiTheme="minorEastAsia" w:hAnsiTheme="minorEastAsia" w:eastAsiaTheme="minorEastAsia"/>
          <w:highlight w:val="none"/>
        </w:rPr>
        <w:t>一、数据库维保服务</w:t>
      </w:r>
      <w:bookmarkEnd w:id="0"/>
      <w:r>
        <w:rPr>
          <w:rFonts w:hint="eastAsia" w:asciiTheme="minorEastAsia" w:hAnsiTheme="minorEastAsia" w:eastAsiaTheme="minorEastAsia"/>
          <w:highlight w:val="none"/>
        </w:rPr>
        <w:t>内容</w:t>
      </w:r>
    </w:p>
    <w:p w14:paraId="6985684E">
      <w:pPr>
        <w:pStyle w:val="5"/>
        <w:rPr>
          <w:rFonts w:hint="eastAsia" w:asciiTheme="minorEastAsia" w:hAnsiTheme="minorEastAsia" w:eastAsiaTheme="minorEastAsia"/>
          <w:highlight w:val="none"/>
        </w:rPr>
      </w:pPr>
      <w:bookmarkStart w:id="1" w:name="_Toc4857"/>
      <w:r>
        <w:rPr>
          <w:rFonts w:hint="eastAsia" w:asciiTheme="minorEastAsia" w:hAnsiTheme="minorEastAsia" w:eastAsiaTheme="minorEastAsia"/>
          <w:highlight w:val="none"/>
        </w:rPr>
        <w:t>服务总体要求</w:t>
      </w:r>
      <w:bookmarkEnd w:id="1"/>
    </w:p>
    <w:p w14:paraId="20FCC410">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本项目服务范围包括数据库的维保服务，为了确保中山市人民医院（以下简称院方）核心系统数据库的稳定运行，需对医院数据库系统购买综合维护保养及技术支持服务。</w:t>
      </w:r>
    </w:p>
    <w:p w14:paraId="6C1FC86A">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提供7*24数据库维保服务，确保核心业务系统的健康、高效、稳定运转，服务内容包括但不限于以下要求：</w:t>
      </w:r>
    </w:p>
    <w:p w14:paraId="263DC386">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（1）电话和网络支持需求</w:t>
      </w:r>
    </w:p>
    <w:p w14:paraId="3E8FAD45">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（2）远程支持（接入终端）</w:t>
      </w:r>
    </w:p>
    <w:p w14:paraId="1C4E9B87">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（3）现场支持</w:t>
      </w:r>
    </w:p>
    <w:p w14:paraId="6A2891F0">
      <w:pPr>
        <w:spacing w:line="360" w:lineRule="auto"/>
        <w:ind w:firstLine="0" w:firstLineChars="0"/>
        <w:rPr>
          <w:rFonts w:hint="eastAsia" w:asciiTheme="minorEastAsia" w:hAnsiTheme="minorEastAsia" w:eastAsiaTheme="minorEastAsia"/>
          <w:kern w:val="0"/>
          <w:szCs w:val="21"/>
          <w:highlight w:val="none"/>
        </w:rPr>
      </w:pPr>
      <w:r>
        <w:rPr>
          <w:rFonts w:hint="eastAsia" w:cs="宋体" w:asciiTheme="minorEastAsia" w:hAnsiTheme="minorEastAsia" w:eastAsiaTheme="minorEastAsia"/>
          <w:kern w:val="0"/>
          <w:szCs w:val="21"/>
          <w:highlight w:val="none"/>
          <w:lang w:val="en-US" w:eastAsia="zh-CN"/>
        </w:rPr>
        <w:t xml:space="preserve">    </w:t>
      </w:r>
      <w:r>
        <w:rPr>
          <w:rFonts w:hint="eastAsia" w:asciiTheme="minorEastAsia" w:hAnsiTheme="minorEastAsia" w:eastAsiaTheme="minorEastAsia"/>
          <w:kern w:val="0"/>
          <w:szCs w:val="21"/>
          <w:highlight w:val="none"/>
        </w:rPr>
        <w:t>确保每月度对维保范围内的数据库进行全面巡检一次（月度巡检），重大节假日（春节、五一、国庆）各提供一次巡检，提供巡检服务报告；</w:t>
      </w:r>
    </w:p>
    <w:p w14:paraId="4A0AC495">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数据库现场服务项目：中标人提供故障诊断、故障处置、性能诊断、性能优化、产品安装、备份恢复方案的设计与实施等维护数据库现场服务项目。</w:t>
      </w:r>
    </w:p>
    <w:p w14:paraId="589CA467">
      <w:pPr>
        <w:pStyle w:val="5"/>
        <w:rPr>
          <w:rFonts w:hint="eastAsia" w:asciiTheme="minorEastAsia" w:hAnsiTheme="minorEastAsia" w:eastAsiaTheme="minorEastAsia"/>
          <w:highlight w:val="none"/>
        </w:rPr>
      </w:pPr>
      <w:bookmarkStart w:id="2" w:name="_Toc15683"/>
      <w:r>
        <w:rPr>
          <w:rFonts w:hint="eastAsia" w:asciiTheme="minorEastAsia" w:hAnsiTheme="minorEastAsia" w:eastAsiaTheme="minorEastAsia"/>
          <w:highlight w:val="none"/>
        </w:rPr>
        <w:t>服务内容</w:t>
      </w:r>
      <w:bookmarkEnd w:id="2"/>
    </w:p>
    <w:p w14:paraId="0FB04B0F">
      <w:pPr>
        <w:spacing w:line="360" w:lineRule="auto"/>
        <w:ind w:firstLine="420" w:firstLineChars="200"/>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维保医院核心业务系统数据库，包括his、emr、平台、医技预约、影像中心、OA系统等合计58套。</w:t>
      </w:r>
    </w:p>
    <w:p w14:paraId="4E64F574">
      <w:pPr>
        <w:spacing w:line="360" w:lineRule="auto"/>
        <w:ind w:firstLine="420" w:firstLineChars="200"/>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维护保养的范围，服务需求内容概述如下表：</w:t>
      </w:r>
    </w:p>
    <w:tbl>
      <w:tblPr>
        <w:tblStyle w:val="16"/>
        <w:tblW w:w="915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677"/>
      </w:tblGrid>
      <w:tr w14:paraId="39AB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482" w:type="dxa"/>
            <w:shd w:val="clear" w:color="auto" w:fill="D7D7D7" w:themeFill="background1" w:themeFillShade="D8"/>
            <w:noWrap/>
            <w:vAlign w:val="bottom"/>
          </w:tcPr>
          <w:p w14:paraId="0AC1029B">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项目</w:t>
            </w:r>
          </w:p>
        </w:tc>
        <w:tc>
          <w:tcPr>
            <w:tcW w:w="6677" w:type="dxa"/>
            <w:shd w:val="clear" w:color="auto" w:fill="D7D7D7" w:themeFill="background1" w:themeFillShade="D8"/>
            <w:noWrap/>
            <w:vAlign w:val="bottom"/>
          </w:tcPr>
          <w:p w14:paraId="6343728D">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描述</w:t>
            </w:r>
          </w:p>
        </w:tc>
      </w:tr>
      <w:tr w14:paraId="7D11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1A915CF0">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数据库日常维护</w:t>
            </w:r>
          </w:p>
        </w:tc>
        <w:tc>
          <w:tcPr>
            <w:tcW w:w="6677" w:type="dxa"/>
            <w:shd w:val="clear" w:color="auto" w:fill="auto"/>
            <w:vAlign w:val="center"/>
          </w:tcPr>
          <w:p w14:paraId="34A8973A">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包括：大型关系型数据库的日常维护</w:t>
            </w:r>
          </w:p>
        </w:tc>
      </w:tr>
      <w:tr w14:paraId="24AAE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4226067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数据库紧急救援服务</w:t>
            </w:r>
          </w:p>
        </w:tc>
        <w:tc>
          <w:tcPr>
            <w:tcW w:w="6677" w:type="dxa"/>
            <w:shd w:val="clear" w:color="auto" w:fill="auto"/>
            <w:noWrap/>
            <w:vAlign w:val="center"/>
          </w:tcPr>
          <w:p w14:paraId="2DB10742">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数据库故障紧急响应，要求全年7*24小时现场响应</w:t>
            </w:r>
          </w:p>
        </w:tc>
      </w:tr>
      <w:tr w14:paraId="28AC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DFB31EE">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数据库性能分析</w:t>
            </w:r>
          </w:p>
        </w:tc>
        <w:tc>
          <w:tcPr>
            <w:tcW w:w="6677" w:type="dxa"/>
            <w:shd w:val="clear" w:color="auto" w:fill="auto"/>
            <w:vAlign w:val="center"/>
          </w:tcPr>
          <w:p w14:paraId="0780EB3A">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对现有的数据库包括：大型关系型数据库的性能进行分析</w:t>
            </w:r>
          </w:p>
        </w:tc>
      </w:tr>
      <w:tr w14:paraId="62093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4D1DDC73">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数据库性能优化</w:t>
            </w:r>
          </w:p>
        </w:tc>
        <w:tc>
          <w:tcPr>
            <w:tcW w:w="6677" w:type="dxa"/>
            <w:shd w:val="clear" w:color="auto" w:fill="auto"/>
            <w:vAlign w:val="center"/>
          </w:tcPr>
          <w:p w14:paraId="3DFE2D1D">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对现有的数据库包括：大型关系型数据库的性能进行分析后进行合理的优化</w:t>
            </w:r>
          </w:p>
        </w:tc>
      </w:tr>
      <w:tr w14:paraId="1C4B2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B8D0240">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数据库备份恢复</w:t>
            </w:r>
          </w:p>
        </w:tc>
        <w:tc>
          <w:tcPr>
            <w:tcW w:w="6677" w:type="dxa"/>
            <w:shd w:val="clear" w:color="auto" w:fill="auto"/>
            <w:vAlign w:val="center"/>
          </w:tcPr>
          <w:p w14:paraId="0330FE4E">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对数据库的备份恢复提供合理方案，包含备份恢复演练技术支持</w:t>
            </w:r>
          </w:p>
        </w:tc>
      </w:tr>
      <w:tr w14:paraId="25EC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410A0AF4">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数据库补丁安装</w:t>
            </w:r>
          </w:p>
        </w:tc>
        <w:tc>
          <w:tcPr>
            <w:tcW w:w="6677" w:type="dxa"/>
            <w:shd w:val="clear" w:color="auto" w:fill="auto"/>
            <w:vAlign w:val="center"/>
          </w:tcPr>
          <w:p w14:paraId="66C4690C">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提供补丁程序/提供补丁程序并进行现场打补丁服务</w:t>
            </w:r>
          </w:p>
        </w:tc>
      </w:tr>
      <w:tr w14:paraId="33C7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51785A5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数据库健康检查</w:t>
            </w:r>
          </w:p>
        </w:tc>
        <w:tc>
          <w:tcPr>
            <w:tcW w:w="6677" w:type="dxa"/>
            <w:shd w:val="clear" w:color="auto" w:fill="auto"/>
            <w:vAlign w:val="center"/>
          </w:tcPr>
          <w:p w14:paraId="778D5E02">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每月度1次；提供健康检查报告，同时建立巡检问题/建议跟踪表，配合院方进行整改直至问题解决/关闭</w:t>
            </w:r>
          </w:p>
        </w:tc>
      </w:tr>
      <w:tr w14:paraId="6CB8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EFCF291">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数据安全咨询</w:t>
            </w:r>
          </w:p>
        </w:tc>
        <w:tc>
          <w:tcPr>
            <w:tcW w:w="6677" w:type="dxa"/>
            <w:shd w:val="clear" w:color="auto" w:fill="auto"/>
            <w:vAlign w:val="center"/>
          </w:tcPr>
          <w:p w14:paraId="20834F3A">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对现有或新增加的系统,提供规划安全建议。</w:t>
            </w:r>
          </w:p>
        </w:tc>
      </w:tr>
      <w:tr w14:paraId="617C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29B79270">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数据库迁移</w:t>
            </w:r>
          </w:p>
        </w:tc>
        <w:tc>
          <w:tcPr>
            <w:tcW w:w="6677" w:type="dxa"/>
            <w:shd w:val="clear" w:color="auto" w:fill="auto"/>
            <w:vAlign w:val="center"/>
          </w:tcPr>
          <w:p w14:paraId="5321C4FF">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针对相同/不同版本数据库之间数据迁移，提供相应实施方案并配合院方完成实施</w:t>
            </w:r>
          </w:p>
        </w:tc>
      </w:tr>
      <w:tr w14:paraId="36C7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482" w:type="dxa"/>
            <w:shd w:val="clear" w:color="auto" w:fill="auto"/>
            <w:noWrap/>
            <w:vAlign w:val="center"/>
          </w:tcPr>
          <w:p w14:paraId="542938B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日常管理规范制定</w:t>
            </w:r>
          </w:p>
        </w:tc>
        <w:tc>
          <w:tcPr>
            <w:tcW w:w="6677" w:type="dxa"/>
            <w:shd w:val="clear" w:color="auto" w:fill="auto"/>
            <w:vAlign w:val="center"/>
          </w:tcPr>
          <w:p w14:paraId="4B693DAB">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制定规范的管理制度、从数据库安全、招标人安全等方面出发，规范操作人员和开发人员使用规则。</w:t>
            </w:r>
          </w:p>
        </w:tc>
      </w:tr>
      <w:tr w14:paraId="23D6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7A8F8E9">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数据库恢复演练</w:t>
            </w:r>
          </w:p>
        </w:tc>
        <w:tc>
          <w:tcPr>
            <w:tcW w:w="6677" w:type="dxa"/>
            <w:shd w:val="clear" w:color="auto" w:fill="auto"/>
            <w:vAlign w:val="center"/>
          </w:tcPr>
          <w:p w14:paraId="798E8326">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根据招标人要求对现有的备份措施进行恢复演练，服务期内不限制次数</w:t>
            </w:r>
          </w:p>
        </w:tc>
      </w:tr>
      <w:tr w14:paraId="70F65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3A2B8D1">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数据库技术咨询</w:t>
            </w:r>
          </w:p>
        </w:tc>
        <w:tc>
          <w:tcPr>
            <w:tcW w:w="6677" w:type="dxa"/>
            <w:shd w:val="clear" w:color="auto" w:fill="auto"/>
            <w:vAlign w:val="center"/>
          </w:tcPr>
          <w:p w14:paraId="4475EDC1">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对现有或新增加的系统，根据院方需求提供数据库层面的技术咨询支持服务，包含但不限于数据库运维体系建设、架构改造、跨版本数据库升级和迁移、安全漏洞补丁装载咨询和评估、应用系统历史数据归档改造方案评审等内容的咨询支持</w:t>
            </w:r>
          </w:p>
        </w:tc>
      </w:tr>
    </w:tbl>
    <w:p w14:paraId="68E5EE20">
      <w:pPr>
        <w:spacing w:line="480" w:lineRule="exact"/>
        <w:ind w:firstLine="0" w:firstLineChars="0"/>
        <w:rPr>
          <w:rStyle w:val="29"/>
          <w:rFonts w:hint="eastAsia" w:cs="宋体" w:asciiTheme="minorEastAsia" w:hAnsiTheme="minorEastAsia" w:eastAsiaTheme="minorEastAsia"/>
          <w:kern w:val="0"/>
          <w:szCs w:val="21"/>
          <w:highlight w:val="none"/>
        </w:rPr>
      </w:pPr>
    </w:p>
    <w:p w14:paraId="4297B846">
      <w:pPr>
        <w:pStyle w:val="4"/>
        <w:rPr>
          <w:rFonts w:hint="eastAsia" w:asciiTheme="minorEastAsia" w:hAnsiTheme="minorEastAsia" w:eastAsiaTheme="minorEastAsia"/>
          <w:highlight w:val="none"/>
        </w:rPr>
      </w:pPr>
      <w:bookmarkStart w:id="3" w:name="_Toc28106"/>
      <w:r>
        <w:rPr>
          <w:rFonts w:hint="eastAsia" w:asciiTheme="minorEastAsia" w:hAnsiTheme="minorEastAsia" w:eastAsiaTheme="minorEastAsia"/>
          <w:highlight w:val="none"/>
        </w:rPr>
        <w:t>二、实时数据复制工具维保服务内容</w:t>
      </w:r>
    </w:p>
    <w:p w14:paraId="5FD8F87A">
      <w:pPr>
        <w:pStyle w:val="5"/>
        <w:numPr>
          <w:ilvl w:val="1"/>
          <w:numId w:val="3"/>
        </w:numPr>
        <w:rPr>
          <w:rFonts w:hint="eastAsia" w:asciiTheme="minorEastAsia" w:hAnsiTheme="minorEastAsia" w:eastAsiaTheme="minorEastAsia"/>
          <w:highlight w:val="none"/>
        </w:rPr>
      </w:pPr>
      <w:r>
        <w:rPr>
          <w:rFonts w:hint="eastAsia" w:asciiTheme="minorEastAsia" w:hAnsiTheme="minorEastAsia" w:eastAsiaTheme="minorEastAsia"/>
          <w:highlight w:val="none"/>
        </w:rPr>
        <w:t>服务总体要求</w:t>
      </w:r>
    </w:p>
    <w:p w14:paraId="7DB19E54">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本项目服务范围包括实时数据复制工具的维保服务，为了确保中山市人民医院（以下简称院方）核心业务系统数据交换的稳定运行，需对医院实时同步软件</w:t>
      </w:r>
      <w:r>
        <w:rPr>
          <w:rFonts w:hint="eastAsia" w:asciiTheme="minorEastAsia" w:hAnsiTheme="minorEastAsia" w:eastAsiaTheme="minorEastAsia"/>
          <w:kern w:val="0"/>
          <w:szCs w:val="21"/>
          <w:highlight w:val="none"/>
          <w:lang w:eastAsia="zh-CN"/>
        </w:rPr>
        <w:t>实时数据复制工具</w:t>
      </w:r>
      <w:r>
        <w:rPr>
          <w:rFonts w:hint="eastAsia" w:asciiTheme="minorEastAsia" w:hAnsiTheme="minorEastAsia" w:eastAsiaTheme="minorEastAsia"/>
          <w:kern w:val="0"/>
          <w:szCs w:val="21"/>
          <w:highlight w:val="none"/>
        </w:rPr>
        <w:t>购买综合维护保养及技术支持服务。</w:t>
      </w:r>
    </w:p>
    <w:p w14:paraId="462BC4EF">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提供7*24</w:t>
      </w:r>
      <w:r>
        <w:rPr>
          <w:rFonts w:asciiTheme="minorEastAsia" w:hAnsiTheme="minorEastAsia" w:eastAsiaTheme="minorEastAsia"/>
          <w:kern w:val="0"/>
          <w:szCs w:val="21"/>
          <w:highlight w:val="none"/>
        </w:rPr>
        <w:t xml:space="preserve"> </w:t>
      </w:r>
      <w:r>
        <w:rPr>
          <w:rFonts w:hint="eastAsia" w:asciiTheme="minorEastAsia" w:hAnsiTheme="minorEastAsia" w:eastAsiaTheme="minorEastAsia"/>
          <w:kern w:val="0"/>
          <w:szCs w:val="21"/>
          <w:highlight w:val="none"/>
        </w:rPr>
        <w:t>维保服务，确保核心业务系统的健康、高效、稳定运转，服务内容包括但不限于以下要求：</w:t>
      </w:r>
    </w:p>
    <w:p w14:paraId="3AC0128C">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（1）电话和网络支持需求</w:t>
      </w:r>
    </w:p>
    <w:p w14:paraId="326448AD">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（2）远程支持（接入终端）</w:t>
      </w:r>
    </w:p>
    <w:p w14:paraId="77D7A7C5">
      <w:pPr>
        <w:ind w:firstLine="420" w:firstLineChars="200"/>
        <w:rPr>
          <w:rFonts w:hint="eastAsia" w:cs="宋体"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（3）现场支持</w:t>
      </w:r>
    </w:p>
    <w:p w14:paraId="0BBEC6BC">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确保每季度对维保范围内的软件进行全面巡检一次（季度巡检），重大节假日（春节、五一、国庆）各提供一次巡检，提供巡检服务报告；</w:t>
      </w:r>
    </w:p>
    <w:p w14:paraId="6F474283">
      <w:pPr>
        <w:spacing w:line="360" w:lineRule="auto"/>
        <w:ind w:firstLine="420" w:firstLineChars="200"/>
        <w:rPr>
          <w:rFonts w:hint="eastAsia"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现场服务项目：中标人提供故障诊断、性能诊断、性能优化、产品安装、进程拆分方案的设计与实施等维护现场服务项目。</w:t>
      </w:r>
    </w:p>
    <w:p w14:paraId="210B6200">
      <w:pPr>
        <w:pStyle w:val="5"/>
        <w:rPr>
          <w:rFonts w:hint="eastAsia" w:asciiTheme="minorEastAsia" w:hAnsiTheme="minorEastAsia" w:eastAsiaTheme="minorEastAsia"/>
          <w:highlight w:val="none"/>
        </w:rPr>
      </w:pPr>
      <w:r>
        <w:rPr>
          <w:rFonts w:hint="eastAsia" w:asciiTheme="minorEastAsia" w:hAnsiTheme="minorEastAsia" w:eastAsiaTheme="minorEastAsia"/>
          <w:highlight w:val="none"/>
        </w:rPr>
        <w:t>服务内容</w:t>
      </w:r>
    </w:p>
    <w:p w14:paraId="756D4D6A">
      <w:pPr>
        <w:spacing w:line="360" w:lineRule="auto"/>
        <w:ind w:firstLine="420" w:firstLineChars="200"/>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rPr>
        <w:t>维保重点保障HIS、EMR、LIS、PACS、集成平台、手术麻醉系统、护理系统等核心业务系统</w:t>
      </w:r>
      <w:r>
        <w:rPr>
          <w:rFonts w:hint="eastAsia" w:asciiTheme="minorEastAsia" w:hAnsiTheme="minorEastAsia" w:eastAsiaTheme="minorEastAsia"/>
          <w:kern w:val="0"/>
          <w:szCs w:val="21"/>
          <w:highlight w:val="none"/>
        </w:rPr>
        <w:t>实时数据复制工具</w:t>
      </w:r>
      <w:r>
        <w:rPr>
          <w:rFonts w:hint="eastAsia" w:asciiTheme="minorEastAsia" w:hAnsiTheme="minorEastAsia" w:eastAsiaTheme="minorEastAsia"/>
          <w:kern w:val="0"/>
          <w:szCs w:val="21"/>
          <w:highlight w:val="none"/>
          <w:lang w:eastAsia="zh-CN"/>
        </w:rPr>
        <w:t>，</w:t>
      </w:r>
      <w:r>
        <w:rPr>
          <w:rFonts w:hint="eastAsia" w:asciiTheme="minorEastAsia" w:hAnsiTheme="minorEastAsia" w:eastAsiaTheme="minorEastAsia"/>
          <w:kern w:val="0"/>
          <w:szCs w:val="21"/>
          <w:highlight w:val="none"/>
          <w:lang w:val="en-US" w:eastAsia="zh-CN"/>
        </w:rPr>
        <w:t>合计6套。</w:t>
      </w:r>
    </w:p>
    <w:p w14:paraId="210A94F5">
      <w:pPr>
        <w:spacing w:line="360" w:lineRule="auto"/>
        <w:ind w:firstLine="420" w:firstLineChars="200"/>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维护范围</w:t>
      </w:r>
      <w:r>
        <w:rPr>
          <w:rStyle w:val="29"/>
          <w:rFonts w:hint="eastAsia" w:cs="宋体" w:asciiTheme="minorEastAsia" w:hAnsiTheme="minorEastAsia" w:eastAsiaTheme="minorEastAsia"/>
          <w:kern w:val="0"/>
          <w:szCs w:val="21"/>
          <w:highlight w:val="none"/>
          <w:lang w:val="en-US" w:eastAsia="zh-CN"/>
        </w:rPr>
        <w:t>及</w:t>
      </w:r>
      <w:r>
        <w:rPr>
          <w:rStyle w:val="29"/>
          <w:rFonts w:hint="eastAsia" w:cs="宋体" w:asciiTheme="minorEastAsia" w:hAnsiTheme="minorEastAsia" w:eastAsiaTheme="minorEastAsia"/>
          <w:kern w:val="0"/>
          <w:szCs w:val="21"/>
          <w:highlight w:val="none"/>
        </w:rPr>
        <w:t>服务需求内容概述如下表：</w:t>
      </w:r>
    </w:p>
    <w:tbl>
      <w:tblPr>
        <w:tblStyle w:val="16"/>
        <w:tblW w:w="915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677"/>
      </w:tblGrid>
      <w:tr w14:paraId="313B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482" w:type="dxa"/>
            <w:shd w:val="clear" w:color="auto" w:fill="D7D7D7" w:themeFill="background1" w:themeFillShade="D8"/>
            <w:noWrap/>
            <w:vAlign w:val="bottom"/>
          </w:tcPr>
          <w:p w14:paraId="4A1F0F54">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项目</w:t>
            </w:r>
          </w:p>
        </w:tc>
        <w:tc>
          <w:tcPr>
            <w:tcW w:w="6677" w:type="dxa"/>
            <w:shd w:val="clear" w:color="auto" w:fill="D7D7D7" w:themeFill="background1" w:themeFillShade="D8"/>
            <w:noWrap/>
            <w:vAlign w:val="bottom"/>
          </w:tcPr>
          <w:p w14:paraId="62AE01A0">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描述</w:t>
            </w:r>
          </w:p>
        </w:tc>
      </w:tr>
      <w:tr w14:paraId="42207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0E759F2B">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日常维护</w:t>
            </w:r>
          </w:p>
        </w:tc>
        <w:tc>
          <w:tcPr>
            <w:tcW w:w="6677" w:type="dxa"/>
            <w:shd w:val="clear" w:color="auto" w:fill="auto"/>
            <w:vAlign w:val="center"/>
          </w:tcPr>
          <w:p w14:paraId="53122AB4">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对现有的</w:t>
            </w:r>
            <w:r>
              <w:rPr>
                <w:rFonts w:hint="eastAsia" w:asciiTheme="minorEastAsia" w:hAnsiTheme="minorEastAsia" w:eastAsiaTheme="minorEastAsia"/>
                <w:kern w:val="0"/>
                <w:szCs w:val="21"/>
                <w:highlight w:val="none"/>
              </w:rPr>
              <w:t>实时数据复制工具</w:t>
            </w:r>
            <w:r>
              <w:rPr>
                <w:rFonts w:hint="eastAsia" w:asciiTheme="minorEastAsia" w:hAnsiTheme="minorEastAsia" w:eastAsiaTheme="minorEastAsia"/>
                <w:szCs w:val="21"/>
                <w:highlight w:val="none"/>
              </w:rPr>
              <w:t>的日常维护</w:t>
            </w:r>
          </w:p>
        </w:tc>
      </w:tr>
      <w:tr w14:paraId="4950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753B7CA4">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紧急救援服务</w:t>
            </w:r>
          </w:p>
        </w:tc>
        <w:tc>
          <w:tcPr>
            <w:tcW w:w="6677" w:type="dxa"/>
            <w:shd w:val="clear" w:color="auto" w:fill="auto"/>
            <w:noWrap/>
            <w:vAlign w:val="center"/>
          </w:tcPr>
          <w:p w14:paraId="0366EBFA">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故障紧急响应，要求全年7*24小时现场响应</w:t>
            </w:r>
          </w:p>
        </w:tc>
      </w:tr>
      <w:tr w14:paraId="47B9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94C38AD">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性能分析</w:t>
            </w:r>
          </w:p>
        </w:tc>
        <w:tc>
          <w:tcPr>
            <w:tcW w:w="6677" w:type="dxa"/>
            <w:shd w:val="clear" w:color="auto" w:fill="auto"/>
            <w:vAlign w:val="center"/>
          </w:tcPr>
          <w:p w14:paraId="380BBA25">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对现有的</w:t>
            </w:r>
            <w:r>
              <w:rPr>
                <w:rFonts w:hint="eastAsia" w:asciiTheme="minorEastAsia" w:hAnsiTheme="minorEastAsia" w:eastAsiaTheme="minorEastAsia"/>
                <w:kern w:val="0"/>
                <w:szCs w:val="21"/>
                <w:highlight w:val="none"/>
              </w:rPr>
              <w:t>实时数据复制工具</w:t>
            </w:r>
            <w:r>
              <w:rPr>
                <w:rFonts w:hint="eastAsia" w:asciiTheme="minorEastAsia" w:hAnsiTheme="minorEastAsia" w:eastAsiaTheme="minorEastAsia"/>
                <w:szCs w:val="21"/>
                <w:highlight w:val="none"/>
              </w:rPr>
              <w:t>的性能进行分析</w:t>
            </w:r>
          </w:p>
        </w:tc>
      </w:tr>
      <w:tr w14:paraId="47B1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7511C8C">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性能优化</w:t>
            </w:r>
          </w:p>
        </w:tc>
        <w:tc>
          <w:tcPr>
            <w:tcW w:w="6677" w:type="dxa"/>
            <w:shd w:val="clear" w:color="auto" w:fill="auto"/>
            <w:vAlign w:val="center"/>
          </w:tcPr>
          <w:p w14:paraId="7417FDF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对现有的</w:t>
            </w:r>
            <w:r>
              <w:rPr>
                <w:rFonts w:hint="eastAsia" w:asciiTheme="minorEastAsia" w:hAnsiTheme="minorEastAsia" w:eastAsiaTheme="minorEastAsia"/>
                <w:kern w:val="0"/>
                <w:szCs w:val="21"/>
                <w:highlight w:val="none"/>
              </w:rPr>
              <w:t>实时数据复制工具</w:t>
            </w:r>
            <w:r>
              <w:rPr>
                <w:rFonts w:hint="eastAsia" w:asciiTheme="minorEastAsia" w:hAnsiTheme="minorEastAsia" w:eastAsiaTheme="minorEastAsia"/>
                <w:szCs w:val="21"/>
                <w:highlight w:val="none"/>
              </w:rPr>
              <w:t>的性能进行分析后进行合理的优化</w:t>
            </w:r>
          </w:p>
        </w:tc>
      </w:tr>
      <w:tr w14:paraId="7655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3D5A80A">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备份恢复</w:t>
            </w:r>
          </w:p>
        </w:tc>
        <w:tc>
          <w:tcPr>
            <w:tcW w:w="6677" w:type="dxa"/>
            <w:shd w:val="clear" w:color="auto" w:fill="auto"/>
            <w:vAlign w:val="center"/>
          </w:tcPr>
          <w:p w14:paraId="2565B92D">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对现有的</w:t>
            </w:r>
            <w:r>
              <w:rPr>
                <w:rFonts w:hint="eastAsia" w:asciiTheme="minorEastAsia" w:hAnsiTheme="minorEastAsia" w:eastAsiaTheme="minorEastAsia"/>
                <w:kern w:val="0"/>
                <w:szCs w:val="21"/>
                <w:highlight w:val="none"/>
              </w:rPr>
              <w:t>实时数据复制工具</w:t>
            </w:r>
            <w:r>
              <w:rPr>
                <w:rFonts w:hint="eastAsia" w:asciiTheme="minorEastAsia" w:hAnsiTheme="minorEastAsia" w:eastAsiaTheme="minorEastAsia"/>
                <w:szCs w:val="21"/>
                <w:highlight w:val="none"/>
              </w:rPr>
              <w:t>的备份恢复提供合理方案</w:t>
            </w:r>
          </w:p>
        </w:tc>
      </w:tr>
      <w:tr w14:paraId="7F14E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BB73A1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补丁安装</w:t>
            </w:r>
          </w:p>
        </w:tc>
        <w:tc>
          <w:tcPr>
            <w:tcW w:w="6677" w:type="dxa"/>
            <w:shd w:val="clear" w:color="auto" w:fill="auto"/>
            <w:vAlign w:val="center"/>
          </w:tcPr>
          <w:p w14:paraId="3E5EE34B">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提供补丁程序/提供补丁程序并进行现场打补丁服务</w:t>
            </w:r>
          </w:p>
        </w:tc>
      </w:tr>
      <w:tr w14:paraId="4E6CE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490821B7">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健康检查</w:t>
            </w:r>
          </w:p>
        </w:tc>
        <w:tc>
          <w:tcPr>
            <w:tcW w:w="6677" w:type="dxa"/>
            <w:shd w:val="clear" w:color="auto" w:fill="auto"/>
            <w:vAlign w:val="center"/>
          </w:tcPr>
          <w:p w14:paraId="4F5C97B7">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每季度1次；提供健康检查报告</w:t>
            </w:r>
          </w:p>
        </w:tc>
      </w:tr>
      <w:tr w14:paraId="7F5B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748EA389">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数据安全咨询</w:t>
            </w:r>
          </w:p>
        </w:tc>
        <w:tc>
          <w:tcPr>
            <w:tcW w:w="6677" w:type="dxa"/>
            <w:shd w:val="clear" w:color="auto" w:fill="auto"/>
            <w:vAlign w:val="center"/>
          </w:tcPr>
          <w:p w14:paraId="233E18A8">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对现有或新增加的系统,提供规划安全建议。</w:t>
            </w:r>
          </w:p>
        </w:tc>
      </w:tr>
      <w:tr w14:paraId="775C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634366E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安装实施</w:t>
            </w:r>
          </w:p>
        </w:tc>
        <w:tc>
          <w:tcPr>
            <w:tcW w:w="6677" w:type="dxa"/>
            <w:shd w:val="clear" w:color="auto" w:fill="auto"/>
            <w:vAlign w:val="center"/>
          </w:tcPr>
          <w:p w14:paraId="715941F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对现有的</w:t>
            </w:r>
            <w:r>
              <w:rPr>
                <w:rFonts w:hint="eastAsia" w:asciiTheme="minorEastAsia" w:hAnsiTheme="minorEastAsia" w:eastAsiaTheme="minorEastAsia"/>
                <w:kern w:val="0"/>
                <w:szCs w:val="21"/>
                <w:highlight w:val="none"/>
              </w:rPr>
              <w:t>实时数据复制工具</w:t>
            </w:r>
            <w:r>
              <w:rPr>
                <w:rFonts w:hint="eastAsia" w:asciiTheme="minorEastAsia" w:hAnsiTheme="minorEastAsia" w:eastAsiaTheme="minorEastAsia"/>
                <w:szCs w:val="21"/>
                <w:highlight w:val="none"/>
              </w:rPr>
              <w:t>的安装实施</w:t>
            </w:r>
          </w:p>
        </w:tc>
      </w:tr>
      <w:tr w14:paraId="6AE4B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383D31BC">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进程增加及拆分</w:t>
            </w:r>
          </w:p>
        </w:tc>
        <w:tc>
          <w:tcPr>
            <w:tcW w:w="6677" w:type="dxa"/>
            <w:shd w:val="clear" w:color="auto" w:fill="auto"/>
            <w:vAlign w:val="center"/>
          </w:tcPr>
          <w:p w14:paraId="0C44BE9B">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进程增加及拆分技术支持</w:t>
            </w:r>
          </w:p>
        </w:tc>
      </w:tr>
      <w:tr w14:paraId="7B9D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6B7F740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数据迁移</w:t>
            </w:r>
          </w:p>
        </w:tc>
        <w:tc>
          <w:tcPr>
            <w:tcW w:w="6677" w:type="dxa"/>
            <w:shd w:val="clear" w:color="auto" w:fill="auto"/>
            <w:vAlign w:val="center"/>
          </w:tcPr>
          <w:p w14:paraId="3AFB7E2C">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针对相同/不同版本数据库之间数据迁移</w:t>
            </w:r>
          </w:p>
        </w:tc>
      </w:tr>
      <w:tr w14:paraId="554EF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482" w:type="dxa"/>
            <w:shd w:val="clear" w:color="auto" w:fill="auto"/>
            <w:noWrap/>
            <w:vAlign w:val="center"/>
          </w:tcPr>
          <w:p w14:paraId="7B6F4F1D">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日常管理规范制定</w:t>
            </w:r>
          </w:p>
        </w:tc>
        <w:tc>
          <w:tcPr>
            <w:tcW w:w="6677" w:type="dxa"/>
            <w:shd w:val="clear" w:color="auto" w:fill="auto"/>
            <w:vAlign w:val="center"/>
          </w:tcPr>
          <w:p w14:paraId="66E61D16">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制定规范的管理制度、从数据安全、招标人安全等方面出发，规范操作人员和开发人员使用规则。</w:t>
            </w:r>
          </w:p>
        </w:tc>
      </w:tr>
    </w:tbl>
    <w:p w14:paraId="6D27D70C">
      <w:pPr>
        <w:spacing w:line="480" w:lineRule="exact"/>
        <w:ind w:firstLine="0" w:firstLineChars="0"/>
        <w:rPr>
          <w:rStyle w:val="29"/>
          <w:rFonts w:hint="eastAsia" w:cs="宋体" w:asciiTheme="minorEastAsia" w:hAnsiTheme="minorEastAsia" w:eastAsiaTheme="minorEastAsia"/>
          <w:kern w:val="0"/>
          <w:szCs w:val="21"/>
          <w:highlight w:val="none"/>
        </w:rPr>
      </w:pPr>
    </w:p>
    <w:p w14:paraId="42773B33">
      <w:pPr>
        <w:rPr>
          <w:rFonts w:hint="eastAsia" w:asciiTheme="minorEastAsia" w:hAnsiTheme="minorEastAsia" w:eastAsiaTheme="minorEastAsia"/>
          <w:highlight w:val="none"/>
        </w:rPr>
      </w:pPr>
    </w:p>
    <w:p w14:paraId="61FFB0A1">
      <w:pPr>
        <w:pStyle w:val="4"/>
        <w:rPr>
          <w:rFonts w:hint="eastAsia" w:asciiTheme="minorEastAsia" w:hAnsiTheme="minorEastAsia" w:eastAsiaTheme="minorEastAsia"/>
          <w:highlight w:val="none"/>
        </w:rPr>
      </w:pPr>
      <w:r>
        <w:rPr>
          <w:rFonts w:hint="eastAsia" w:asciiTheme="minorEastAsia" w:hAnsiTheme="minorEastAsia" w:eastAsiaTheme="minorEastAsia"/>
          <w:highlight w:val="none"/>
        </w:rPr>
        <w:t>三、服务器设备维保服务内容</w:t>
      </w:r>
      <w:bookmarkEnd w:id="3"/>
    </w:p>
    <w:p w14:paraId="2BFD533E">
      <w:pPr>
        <w:rPr>
          <w:rStyle w:val="29"/>
          <w:rFonts w:hint="default" w:cs="宋体" w:asciiTheme="minorEastAsia" w:hAnsiTheme="minorEastAsia" w:eastAsiaTheme="minorEastAsia"/>
          <w:b/>
          <w:bCs/>
          <w:kern w:val="0"/>
          <w:szCs w:val="21"/>
          <w:highlight w:val="none"/>
          <w:lang w:val="en-US"/>
        </w:rPr>
      </w:pPr>
      <w:r>
        <w:rPr>
          <w:rStyle w:val="29"/>
          <w:rFonts w:hint="eastAsia" w:cs="宋体" w:asciiTheme="minorEastAsia" w:hAnsiTheme="minorEastAsia" w:eastAsiaTheme="minorEastAsia"/>
          <w:b/>
          <w:bCs/>
          <w:kern w:val="0"/>
          <w:sz w:val="22"/>
          <w:szCs w:val="16"/>
          <w:highlight w:val="none"/>
        </w:rPr>
        <w:t>维护保养的范围</w:t>
      </w:r>
      <w:r>
        <w:rPr>
          <w:rStyle w:val="29"/>
          <w:rFonts w:hint="eastAsia" w:cs="宋体" w:asciiTheme="minorEastAsia" w:hAnsiTheme="minorEastAsia" w:eastAsiaTheme="minorEastAsia"/>
          <w:b/>
          <w:bCs/>
          <w:kern w:val="0"/>
          <w:sz w:val="22"/>
          <w:szCs w:val="16"/>
          <w:highlight w:val="none"/>
          <w:lang w:eastAsia="zh-CN"/>
        </w:rPr>
        <w:t>：</w:t>
      </w:r>
      <w:r>
        <w:rPr>
          <w:rStyle w:val="29"/>
          <w:rFonts w:hint="eastAsia" w:cs="宋体" w:asciiTheme="minorEastAsia" w:hAnsiTheme="minorEastAsia" w:eastAsiaTheme="minorEastAsia"/>
          <w:b/>
          <w:bCs/>
          <w:kern w:val="0"/>
          <w:sz w:val="22"/>
          <w:szCs w:val="16"/>
          <w:highlight w:val="none"/>
          <w:lang w:val="en-US" w:eastAsia="zh-CN"/>
        </w:rPr>
        <w:t>合计176台服务器</w:t>
      </w:r>
    </w:p>
    <w:p w14:paraId="36BA2789">
      <w:pPr>
        <w:rPr>
          <w:rStyle w:val="29"/>
          <w:rFonts w:hint="eastAsia" w:cs="宋体" w:asciiTheme="minorEastAsia" w:hAnsiTheme="minorEastAsia" w:eastAsiaTheme="minorEastAsia"/>
          <w:b/>
          <w:bCs/>
          <w:kern w:val="0"/>
          <w:sz w:val="22"/>
          <w:szCs w:val="16"/>
          <w:highlight w:val="none"/>
          <w:lang w:val="en-US" w:eastAsia="zh-CN"/>
        </w:rPr>
      </w:pPr>
    </w:p>
    <w:tbl>
      <w:tblPr>
        <w:tblStyle w:val="16"/>
        <w:tblW w:w="4441"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0"/>
        <w:gridCol w:w="2011"/>
        <w:gridCol w:w="1411"/>
      </w:tblGrid>
      <w:tr w14:paraId="7AD52727">
        <w:tblPrEx>
          <w:shd w:val="clear" w:color="auto" w:fill="auto"/>
        </w:tblPrEx>
        <w:trPr>
          <w:trHeight w:val="27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DD9A07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011"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3CB81AA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型号</w:t>
            </w:r>
          </w:p>
        </w:tc>
        <w:tc>
          <w:tcPr>
            <w:tcW w:w="1411"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16C86C5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r>
      <w:tr w14:paraId="137C1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EB3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A7D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336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43C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43D34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F28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A4C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3250 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B9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12459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37D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D87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X3650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17A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r>
      <w:tr w14:paraId="2EF77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947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9F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X3650 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D4F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r>
      <w:tr w14:paraId="478E6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200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21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X3650 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2F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r>
      <w:tr w14:paraId="62FF7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BC4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D8E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X3650 M4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81D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r>
      <w:tr w14:paraId="5AD07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9ED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761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X3650 M5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07F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r>
      <w:tr w14:paraId="3AB17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297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6C3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X3850 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8A6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53C62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D5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86C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X3850 X5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27E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r w14:paraId="32A77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429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DA7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3850 X6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437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r>
      <w:tr w14:paraId="6D9CB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ACE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8F7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DELL R430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983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514C9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214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579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DELL R540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B1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23A21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947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9B2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DELL R720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E1B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04BE7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334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BAB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DELL R730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68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40604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A9C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1CB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DELL R740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7D3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r>
      <w:tr w14:paraId="73439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6D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6D6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DELL R740xd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C48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0EFA6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E4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ADF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DELL R940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36D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29D0C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93D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DD9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DELL R940XA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5CF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r>
      <w:tr w14:paraId="34C81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7BB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E28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华为 RH2288HV2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D70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F7F2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7F0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34A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HUAWEI 2288X V5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C4C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75FD5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27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1AF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HP DL388G9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C56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3D057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B42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CE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LenovorS530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FC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336A5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F93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22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LenovoSR550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AAC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79C81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2A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62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PR2510G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BDB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75D39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8F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738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SR650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FD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bl>
    <w:p w14:paraId="19F02F91">
      <w:pPr>
        <w:pStyle w:val="2"/>
        <w:ind w:left="0" w:firstLine="0" w:firstLineChars="0"/>
        <w:rPr>
          <w:rFonts w:hint="eastAsia"/>
          <w:highlight w:val="none"/>
          <w:lang w:val="en-US" w:eastAsia="zh-CN"/>
        </w:rPr>
      </w:pPr>
    </w:p>
    <w:p w14:paraId="2D384FBB">
      <w:pPr>
        <w:spacing w:line="360" w:lineRule="auto"/>
        <w:rPr>
          <w:rFonts w:hint="eastAsia"/>
          <w:b/>
          <w:bCs/>
          <w:sz w:val="22"/>
          <w:szCs w:val="28"/>
          <w:highlight w:val="none"/>
        </w:rPr>
      </w:pPr>
      <w:r>
        <w:rPr>
          <w:rFonts w:hint="eastAsia"/>
          <w:b/>
          <w:bCs/>
          <w:sz w:val="22"/>
          <w:szCs w:val="28"/>
          <w:highlight w:val="none"/>
        </w:rPr>
        <w:t>服务需求内容概述如下表：</w:t>
      </w:r>
    </w:p>
    <w:tbl>
      <w:tblPr>
        <w:tblStyle w:val="16"/>
        <w:tblW w:w="915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677"/>
      </w:tblGrid>
      <w:tr w14:paraId="06EE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482" w:type="dxa"/>
            <w:shd w:val="clear" w:color="auto" w:fill="D7D7D7" w:themeFill="background1" w:themeFillShade="D8"/>
            <w:noWrap/>
            <w:vAlign w:val="bottom"/>
          </w:tcPr>
          <w:p w14:paraId="2AFB1D7D">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项目</w:t>
            </w:r>
          </w:p>
        </w:tc>
        <w:tc>
          <w:tcPr>
            <w:tcW w:w="6677" w:type="dxa"/>
            <w:shd w:val="clear" w:color="auto" w:fill="D7D7D7" w:themeFill="background1" w:themeFillShade="D8"/>
            <w:noWrap/>
            <w:vAlign w:val="bottom"/>
          </w:tcPr>
          <w:p w14:paraId="246908F8">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描述</w:t>
            </w:r>
          </w:p>
        </w:tc>
      </w:tr>
      <w:tr w14:paraId="16F88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271C4712">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日常维护</w:t>
            </w:r>
          </w:p>
        </w:tc>
        <w:tc>
          <w:tcPr>
            <w:tcW w:w="6677" w:type="dxa"/>
            <w:shd w:val="clear" w:color="auto" w:fill="auto"/>
            <w:vAlign w:val="center"/>
          </w:tcPr>
          <w:p w14:paraId="146A750F">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对现有维保服务器进行日常维护，日常服务器硬件故障处理</w:t>
            </w:r>
          </w:p>
        </w:tc>
      </w:tr>
      <w:tr w14:paraId="6835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7CEAF8C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月度巡检</w:t>
            </w:r>
          </w:p>
        </w:tc>
        <w:tc>
          <w:tcPr>
            <w:tcW w:w="6677" w:type="dxa"/>
            <w:shd w:val="clear" w:color="auto" w:fill="auto"/>
            <w:vAlign w:val="center"/>
          </w:tcPr>
          <w:p w14:paraId="0788E0E5">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每个月进行现场巡检，出具现场巡检报告</w:t>
            </w:r>
          </w:p>
        </w:tc>
      </w:tr>
      <w:tr w14:paraId="48049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29D7B6C">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紧急救援服务</w:t>
            </w:r>
          </w:p>
        </w:tc>
        <w:tc>
          <w:tcPr>
            <w:tcW w:w="6677" w:type="dxa"/>
            <w:shd w:val="clear" w:color="auto" w:fill="auto"/>
            <w:noWrap/>
            <w:vAlign w:val="center"/>
          </w:tcPr>
          <w:p w14:paraId="2A86E613">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故障紧急响应，要求全年7*24小时现场响应</w:t>
            </w:r>
          </w:p>
        </w:tc>
      </w:tr>
      <w:tr w14:paraId="16AEB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68C15B7C">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补丁升级</w:t>
            </w:r>
          </w:p>
        </w:tc>
        <w:tc>
          <w:tcPr>
            <w:tcW w:w="6677" w:type="dxa"/>
            <w:shd w:val="clear" w:color="auto" w:fill="auto"/>
            <w:vAlign w:val="center"/>
          </w:tcPr>
          <w:p w14:paraId="48087E5B">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提供对现有维保服务器微码、驱动提供升级服务</w:t>
            </w:r>
          </w:p>
        </w:tc>
      </w:tr>
      <w:tr w14:paraId="5D332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801F96F">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配置调整</w:t>
            </w:r>
          </w:p>
        </w:tc>
        <w:tc>
          <w:tcPr>
            <w:tcW w:w="6677" w:type="dxa"/>
            <w:shd w:val="clear" w:color="auto" w:fill="auto"/>
            <w:vAlign w:val="center"/>
          </w:tcPr>
          <w:p w14:paraId="66D76813">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提供对现有维保服务器配件优化，调整，合理优化服务器配置的建议</w:t>
            </w:r>
          </w:p>
        </w:tc>
      </w:tr>
      <w:tr w14:paraId="49584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347B5D6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安装实施</w:t>
            </w:r>
          </w:p>
        </w:tc>
        <w:tc>
          <w:tcPr>
            <w:tcW w:w="6677" w:type="dxa"/>
            <w:shd w:val="clear" w:color="auto" w:fill="auto"/>
            <w:vAlign w:val="center"/>
          </w:tcPr>
          <w:p w14:paraId="7A405C76">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对维保服务器进行安装、上架实施等集成服务</w:t>
            </w:r>
          </w:p>
        </w:tc>
      </w:tr>
      <w:tr w14:paraId="1EB2B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6B50A40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备件保障</w:t>
            </w:r>
          </w:p>
        </w:tc>
        <w:tc>
          <w:tcPr>
            <w:tcW w:w="6677" w:type="dxa"/>
            <w:shd w:val="clear" w:color="auto" w:fill="auto"/>
            <w:vAlign w:val="center"/>
          </w:tcPr>
          <w:p w14:paraId="6F3590D5">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核心设备提供现场备件，建立现场备件仓库，定期补充盘点现场备件</w:t>
            </w:r>
          </w:p>
        </w:tc>
      </w:tr>
      <w:tr w14:paraId="343BD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3356A477">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服务器培训</w:t>
            </w:r>
          </w:p>
        </w:tc>
        <w:tc>
          <w:tcPr>
            <w:tcW w:w="6677" w:type="dxa"/>
            <w:shd w:val="clear" w:color="auto" w:fill="auto"/>
            <w:vAlign w:val="center"/>
          </w:tcPr>
          <w:p w14:paraId="5633E9F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对客户或者第三方驻场人员提供远程或者现场服务器知识培训</w:t>
            </w:r>
          </w:p>
        </w:tc>
      </w:tr>
    </w:tbl>
    <w:p w14:paraId="213E618F">
      <w:pPr>
        <w:pStyle w:val="14"/>
        <w:widowControl w:val="0"/>
        <w:adjustRightInd w:val="0"/>
        <w:snapToGrid w:val="0"/>
        <w:spacing w:before="0" w:beforeAutospacing="0" w:after="0" w:afterAutospacing="0" w:line="360" w:lineRule="auto"/>
        <w:jc w:val="both"/>
        <w:rPr>
          <w:rFonts w:hint="eastAsia" w:asciiTheme="minorEastAsia" w:hAnsiTheme="minorEastAsia" w:eastAsiaTheme="minorEastAsia"/>
          <w:kern w:val="2"/>
          <w:sz w:val="21"/>
          <w:szCs w:val="21"/>
          <w:highlight w:val="none"/>
        </w:rPr>
      </w:pPr>
    </w:p>
    <w:p w14:paraId="6A0E3E59">
      <w:pPr>
        <w:pStyle w:val="4"/>
        <w:rPr>
          <w:rFonts w:hint="eastAsia" w:asciiTheme="minorEastAsia" w:hAnsiTheme="minorEastAsia" w:eastAsiaTheme="minorEastAsia"/>
          <w:highlight w:val="none"/>
        </w:rPr>
      </w:pPr>
      <w:r>
        <w:rPr>
          <w:rFonts w:hint="eastAsia" w:asciiTheme="minorEastAsia" w:hAnsiTheme="minorEastAsia" w:eastAsiaTheme="minorEastAsia"/>
          <w:highlight w:val="none"/>
        </w:rPr>
        <w:t>四、负载均衡设备维保服务内容</w:t>
      </w:r>
    </w:p>
    <w:p w14:paraId="1DED2B16">
      <w:pPr>
        <w:spacing w:line="360" w:lineRule="auto"/>
        <w:rPr>
          <w:rFonts w:hint="default" w:eastAsia="宋体"/>
          <w:b/>
          <w:bCs/>
          <w:highlight w:val="none"/>
          <w:lang w:val="en-US" w:eastAsia="zh-CN"/>
        </w:rPr>
      </w:pPr>
      <w:r>
        <w:rPr>
          <w:rFonts w:hint="eastAsia"/>
          <w:b/>
          <w:bCs/>
          <w:highlight w:val="none"/>
        </w:rPr>
        <w:t>维护保养的范围</w:t>
      </w:r>
      <w:r>
        <w:rPr>
          <w:rFonts w:hint="eastAsia"/>
          <w:b/>
          <w:bCs/>
          <w:highlight w:val="none"/>
          <w:lang w:eastAsia="zh-CN"/>
        </w:rPr>
        <w:t>：</w:t>
      </w:r>
      <w:r>
        <w:rPr>
          <w:rFonts w:hint="eastAsia"/>
          <w:b/>
          <w:bCs/>
          <w:highlight w:val="none"/>
          <w:lang w:val="en-US" w:eastAsia="zh-CN"/>
        </w:rPr>
        <w:t>合计2台F5负载均衡</w:t>
      </w:r>
      <w:r>
        <w:rPr>
          <w:rStyle w:val="29"/>
          <w:rFonts w:hint="eastAsia" w:cs="宋体" w:asciiTheme="minorEastAsia" w:hAnsiTheme="minorEastAsia" w:eastAsiaTheme="minorEastAsia"/>
          <w:b/>
          <w:bCs/>
          <w:kern w:val="0"/>
          <w:sz w:val="22"/>
          <w:szCs w:val="16"/>
          <w:highlight w:val="none"/>
          <w:lang w:val="en-US" w:eastAsia="zh-CN"/>
        </w:rPr>
        <w:t>。</w:t>
      </w:r>
    </w:p>
    <w:p w14:paraId="6A463DF8">
      <w:pPr>
        <w:spacing w:line="360" w:lineRule="auto"/>
        <w:rPr>
          <w:b/>
          <w:bCs/>
          <w:highlight w:val="none"/>
        </w:rPr>
      </w:pPr>
      <w:r>
        <w:rPr>
          <w:rFonts w:hint="eastAsia"/>
          <w:b/>
          <w:bCs/>
          <w:highlight w:val="none"/>
        </w:rPr>
        <w:t>服务需求内容概述如下表：</w:t>
      </w:r>
    </w:p>
    <w:tbl>
      <w:tblPr>
        <w:tblStyle w:val="16"/>
        <w:tblW w:w="915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677"/>
      </w:tblGrid>
      <w:tr w14:paraId="4D66D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482" w:type="dxa"/>
            <w:shd w:val="clear" w:color="auto" w:fill="D7D7D7" w:themeFill="background1" w:themeFillShade="D8"/>
            <w:noWrap/>
            <w:vAlign w:val="bottom"/>
          </w:tcPr>
          <w:p w14:paraId="1BD78E23">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项目</w:t>
            </w:r>
          </w:p>
        </w:tc>
        <w:tc>
          <w:tcPr>
            <w:tcW w:w="6677" w:type="dxa"/>
            <w:shd w:val="clear" w:color="auto" w:fill="D7D7D7" w:themeFill="background1" w:themeFillShade="D8"/>
            <w:noWrap/>
            <w:vAlign w:val="bottom"/>
          </w:tcPr>
          <w:p w14:paraId="099DD804">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描述</w:t>
            </w:r>
          </w:p>
        </w:tc>
      </w:tr>
      <w:tr w14:paraId="3BAB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4FEA04CA">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日常维护</w:t>
            </w:r>
          </w:p>
        </w:tc>
        <w:tc>
          <w:tcPr>
            <w:tcW w:w="6677" w:type="dxa"/>
            <w:shd w:val="clear" w:color="auto" w:fill="auto"/>
            <w:vAlign w:val="center"/>
          </w:tcPr>
          <w:p w14:paraId="5A25B172">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对现有维保</w:t>
            </w:r>
            <w:r>
              <w:rPr>
                <w:rFonts w:hint="eastAsia" w:asciiTheme="minorEastAsia" w:hAnsiTheme="minorEastAsia" w:eastAsiaTheme="minorEastAsia"/>
                <w:szCs w:val="21"/>
                <w:highlight w:val="none"/>
                <w:lang w:val="en-US" w:eastAsia="zh-CN"/>
              </w:rPr>
              <w:t>负载均衡</w:t>
            </w:r>
            <w:r>
              <w:rPr>
                <w:rFonts w:hint="eastAsia" w:asciiTheme="minorEastAsia" w:hAnsiTheme="minorEastAsia" w:eastAsiaTheme="minorEastAsia"/>
                <w:szCs w:val="21"/>
                <w:highlight w:val="none"/>
              </w:rPr>
              <w:t>进行日常维护，日常</w:t>
            </w:r>
            <w:r>
              <w:rPr>
                <w:rFonts w:hint="eastAsia" w:asciiTheme="minorEastAsia" w:hAnsiTheme="minorEastAsia" w:eastAsiaTheme="minorEastAsia"/>
                <w:szCs w:val="21"/>
                <w:highlight w:val="none"/>
                <w:lang w:val="en-US" w:eastAsia="zh-CN"/>
              </w:rPr>
              <w:t>负载均衡</w:t>
            </w:r>
            <w:r>
              <w:rPr>
                <w:rFonts w:hint="eastAsia" w:asciiTheme="minorEastAsia" w:hAnsiTheme="minorEastAsia" w:eastAsiaTheme="minorEastAsia"/>
                <w:szCs w:val="21"/>
                <w:highlight w:val="none"/>
              </w:rPr>
              <w:t>硬件故障处理</w:t>
            </w:r>
          </w:p>
        </w:tc>
      </w:tr>
      <w:tr w14:paraId="0B12C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67448EEC">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月度巡检</w:t>
            </w:r>
          </w:p>
        </w:tc>
        <w:tc>
          <w:tcPr>
            <w:tcW w:w="6677" w:type="dxa"/>
            <w:shd w:val="clear" w:color="auto" w:fill="auto"/>
            <w:vAlign w:val="center"/>
          </w:tcPr>
          <w:p w14:paraId="5106D2DB">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每个月进行现场巡检，针对负载设备的CPU、内存、硬盘利用率、电源负载等硬件状态进行预防性检查。针对负载设备的VS状态、pool状态、node状态、HA可用状态、，NTP状态、进行预防性检查并出具现场巡检报告。</w:t>
            </w:r>
          </w:p>
        </w:tc>
      </w:tr>
      <w:tr w14:paraId="558A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2231F99">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紧急救援服务</w:t>
            </w:r>
          </w:p>
        </w:tc>
        <w:tc>
          <w:tcPr>
            <w:tcW w:w="6677" w:type="dxa"/>
            <w:shd w:val="clear" w:color="auto" w:fill="auto"/>
            <w:noWrap/>
            <w:vAlign w:val="center"/>
          </w:tcPr>
          <w:p w14:paraId="71CBD1EF">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故障紧急响应，要求全年7*24小时现场响应</w:t>
            </w:r>
          </w:p>
        </w:tc>
      </w:tr>
      <w:tr w14:paraId="77DF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ABC16F3">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补丁升级</w:t>
            </w:r>
          </w:p>
        </w:tc>
        <w:tc>
          <w:tcPr>
            <w:tcW w:w="6677" w:type="dxa"/>
            <w:shd w:val="clear" w:color="auto" w:fill="auto"/>
            <w:vAlign w:val="center"/>
          </w:tcPr>
          <w:p w14:paraId="5F7B9732">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提供对现有维负载均衡设备版本提供升级服务</w:t>
            </w:r>
          </w:p>
        </w:tc>
      </w:tr>
      <w:tr w14:paraId="4457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5ED8CF2C">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配置调整</w:t>
            </w:r>
          </w:p>
        </w:tc>
        <w:tc>
          <w:tcPr>
            <w:tcW w:w="6677" w:type="dxa"/>
            <w:shd w:val="clear" w:color="auto" w:fill="auto"/>
            <w:vAlign w:val="center"/>
          </w:tcPr>
          <w:p w14:paraId="214F7511">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提供对现有维保负载均衡设备优化，调整，合理优化配置的建议</w:t>
            </w:r>
          </w:p>
        </w:tc>
      </w:tr>
      <w:tr w14:paraId="5481E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E17F41C">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安装实施</w:t>
            </w:r>
          </w:p>
        </w:tc>
        <w:tc>
          <w:tcPr>
            <w:tcW w:w="6677" w:type="dxa"/>
            <w:shd w:val="clear" w:color="auto" w:fill="auto"/>
            <w:vAlign w:val="center"/>
          </w:tcPr>
          <w:p w14:paraId="4F89BC0D">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对维保负载均衡设备进行安装、上架实施等集成服务</w:t>
            </w:r>
          </w:p>
        </w:tc>
      </w:tr>
      <w:tr w14:paraId="4592E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09B8984">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备件保障</w:t>
            </w:r>
          </w:p>
        </w:tc>
        <w:tc>
          <w:tcPr>
            <w:tcW w:w="6677" w:type="dxa"/>
            <w:shd w:val="clear" w:color="auto" w:fill="auto"/>
            <w:vAlign w:val="center"/>
          </w:tcPr>
          <w:p w14:paraId="3368E9E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建立远程备件仓库，准备相同型号和版本的设备待用。</w:t>
            </w:r>
          </w:p>
        </w:tc>
      </w:tr>
      <w:tr w14:paraId="61F03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5640C9FD">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服务器培训</w:t>
            </w:r>
          </w:p>
        </w:tc>
        <w:tc>
          <w:tcPr>
            <w:tcW w:w="6677" w:type="dxa"/>
            <w:shd w:val="clear" w:color="auto" w:fill="auto"/>
            <w:vAlign w:val="center"/>
          </w:tcPr>
          <w:p w14:paraId="25A7F385">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对客户或者第三方驻场人员提供远程或者现场负载均衡设备知识培训</w:t>
            </w:r>
          </w:p>
        </w:tc>
      </w:tr>
    </w:tbl>
    <w:p w14:paraId="534EFC7E">
      <w:pPr>
        <w:spacing w:line="360" w:lineRule="auto"/>
        <w:ind w:firstLine="0" w:firstLineChars="0"/>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1、</w:t>
      </w:r>
      <w:bookmarkStart w:id="4" w:name="_Toc10462"/>
    </w:p>
    <w:p w14:paraId="3E98569F">
      <w:pPr>
        <w:pStyle w:val="4"/>
        <w:rPr>
          <w:rFonts w:hint="eastAsia" w:asciiTheme="minorEastAsia" w:hAnsiTheme="minorEastAsia" w:eastAsiaTheme="minorEastAsia"/>
          <w:highlight w:val="none"/>
        </w:rPr>
      </w:pPr>
      <w:r>
        <w:rPr>
          <w:rFonts w:hint="eastAsia" w:asciiTheme="minorEastAsia" w:hAnsiTheme="minorEastAsia" w:eastAsiaTheme="minorEastAsia"/>
          <w:highlight w:val="none"/>
        </w:rPr>
        <w:t>五、存储及配套设备维保服务维保内容</w:t>
      </w:r>
      <w:bookmarkEnd w:id="4"/>
    </w:p>
    <w:p w14:paraId="53D20F20">
      <w:pPr>
        <w:spacing w:line="360" w:lineRule="auto"/>
        <w:rPr>
          <w:rStyle w:val="29"/>
          <w:rFonts w:hint="eastAsia" w:cs="宋体" w:asciiTheme="minorEastAsia" w:hAnsiTheme="minorEastAsia" w:eastAsiaTheme="minorEastAsia"/>
          <w:b/>
          <w:bCs/>
          <w:kern w:val="0"/>
          <w:sz w:val="22"/>
          <w:szCs w:val="16"/>
          <w:highlight w:val="none"/>
          <w:lang w:val="en-US" w:eastAsia="zh-CN"/>
        </w:rPr>
      </w:pPr>
      <w:r>
        <w:rPr>
          <w:rFonts w:hint="eastAsia"/>
          <w:b/>
          <w:bCs/>
          <w:highlight w:val="none"/>
        </w:rPr>
        <w:t>维护保养的范围</w:t>
      </w:r>
      <w:r>
        <w:rPr>
          <w:rFonts w:hint="eastAsia"/>
          <w:b/>
          <w:bCs/>
          <w:highlight w:val="none"/>
          <w:lang w:eastAsia="zh-CN"/>
        </w:rPr>
        <w:t>：</w:t>
      </w:r>
      <w:r>
        <w:rPr>
          <w:rFonts w:hint="eastAsia"/>
          <w:b/>
          <w:bCs/>
          <w:highlight w:val="none"/>
          <w:lang w:val="en-US" w:eastAsia="zh-CN"/>
        </w:rPr>
        <w:t>合计45台存储</w:t>
      </w:r>
      <w:r>
        <w:rPr>
          <w:rStyle w:val="29"/>
          <w:rFonts w:hint="eastAsia" w:cs="宋体" w:asciiTheme="minorEastAsia" w:hAnsiTheme="minorEastAsia" w:eastAsiaTheme="minorEastAsia"/>
          <w:b/>
          <w:bCs/>
          <w:kern w:val="0"/>
          <w:sz w:val="22"/>
          <w:szCs w:val="16"/>
          <w:highlight w:val="none"/>
          <w:lang w:val="en-US" w:eastAsia="zh-CN"/>
        </w:rPr>
        <w:t>。</w:t>
      </w:r>
    </w:p>
    <w:tbl>
      <w:tblPr>
        <w:tblStyle w:val="16"/>
        <w:tblW w:w="4441"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0"/>
        <w:gridCol w:w="3261"/>
        <w:gridCol w:w="1411"/>
      </w:tblGrid>
      <w:tr w14:paraId="2302B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020"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7360627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011"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5A9F29B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型号</w:t>
            </w:r>
          </w:p>
        </w:tc>
        <w:tc>
          <w:tcPr>
            <w:tcW w:w="1411"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14:paraId="450A4053">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r>
      <w:tr w14:paraId="4F5AF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221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505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MD1400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BA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60E12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69A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D7D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DS3200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65E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73BD4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B2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8B2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DS3512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88C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18C0A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6B9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50D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DS4300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29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5F736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1C0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EC2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DS4700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277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44F3F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AA6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682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DS5020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174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r>
      <w:tr w14:paraId="2D391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824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00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TS4300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4D5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27DB6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E05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4D6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V3700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E10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r w14:paraId="300DE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F4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220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V5000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61F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7FD1E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AD8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8A6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V5000扩展柜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C73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r>
      <w:tr w14:paraId="17973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0BC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B4E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V7000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06B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503F0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4E1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A35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V7000扩展柜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99B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r>
      <w:tr w14:paraId="21644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68D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CE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Huawei OceanStor Pacific 9520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EE9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r>
      <w:tr w14:paraId="3641B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139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977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B24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386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r>
      <w:tr w14:paraId="26828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893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87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SAN24B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AE5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r>
      <w:tr w14:paraId="37875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22B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349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IBM 2005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F96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r>
    </w:tbl>
    <w:p w14:paraId="406AB43A">
      <w:pPr>
        <w:pStyle w:val="2"/>
        <w:ind w:left="0" w:firstLine="0" w:firstLineChars="0"/>
        <w:rPr>
          <w:rFonts w:hint="default"/>
          <w:highlight w:val="none"/>
          <w:lang w:val="en-US" w:eastAsia="zh-CN"/>
        </w:rPr>
      </w:pPr>
    </w:p>
    <w:p w14:paraId="7716B373">
      <w:pPr>
        <w:spacing w:line="360" w:lineRule="auto"/>
        <w:rPr>
          <w:b/>
          <w:bCs/>
          <w:highlight w:val="none"/>
        </w:rPr>
      </w:pPr>
      <w:r>
        <w:rPr>
          <w:rFonts w:hint="eastAsia"/>
          <w:b/>
          <w:bCs/>
          <w:highlight w:val="none"/>
        </w:rPr>
        <w:t>服务需求内容概述如下表：</w:t>
      </w:r>
    </w:p>
    <w:tbl>
      <w:tblPr>
        <w:tblStyle w:val="16"/>
        <w:tblW w:w="915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677"/>
      </w:tblGrid>
      <w:tr w14:paraId="4E56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482" w:type="dxa"/>
            <w:shd w:val="clear" w:color="auto" w:fill="D7D7D7" w:themeFill="background1" w:themeFillShade="D8"/>
            <w:noWrap/>
            <w:vAlign w:val="bottom"/>
          </w:tcPr>
          <w:p w14:paraId="4904FD45">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项目</w:t>
            </w:r>
          </w:p>
        </w:tc>
        <w:tc>
          <w:tcPr>
            <w:tcW w:w="6677" w:type="dxa"/>
            <w:shd w:val="clear" w:color="auto" w:fill="D7D7D7" w:themeFill="background1" w:themeFillShade="D8"/>
            <w:noWrap/>
            <w:vAlign w:val="bottom"/>
          </w:tcPr>
          <w:p w14:paraId="454F57B3">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描述</w:t>
            </w:r>
          </w:p>
        </w:tc>
      </w:tr>
      <w:tr w14:paraId="3C6F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161C0700">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日常维护</w:t>
            </w:r>
          </w:p>
        </w:tc>
        <w:tc>
          <w:tcPr>
            <w:tcW w:w="6677" w:type="dxa"/>
            <w:shd w:val="clear" w:color="auto" w:fill="auto"/>
            <w:vAlign w:val="center"/>
          </w:tcPr>
          <w:p w14:paraId="0B6C43A8">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对现有维保存储进行日常维护，日常存储硬件故障处理</w:t>
            </w:r>
          </w:p>
        </w:tc>
      </w:tr>
      <w:tr w14:paraId="5C184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265F0CF3">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月度巡检</w:t>
            </w:r>
          </w:p>
        </w:tc>
        <w:tc>
          <w:tcPr>
            <w:tcW w:w="6677" w:type="dxa"/>
            <w:shd w:val="clear" w:color="auto" w:fill="auto"/>
            <w:vAlign w:val="center"/>
          </w:tcPr>
          <w:p w14:paraId="6937F88D">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每个月进行现场巡检，出具现场巡检报告</w:t>
            </w:r>
          </w:p>
        </w:tc>
      </w:tr>
      <w:tr w14:paraId="69641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A7A2B7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紧急救援服务</w:t>
            </w:r>
          </w:p>
        </w:tc>
        <w:tc>
          <w:tcPr>
            <w:tcW w:w="6677" w:type="dxa"/>
            <w:shd w:val="clear" w:color="auto" w:fill="auto"/>
            <w:noWrap/>
            <w:vAlign w:val="center"/>
          </w:tcPr>
          <w:p w14:paraId="3B5E1C57">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故障紧急响应，要求全年7*24小时现场响应</w:t>
            </w:r>
          </w:p>
        </w:tc>
      </w:tr>
      <w:tr w14:paraId="707B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7E2B775">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补丁升级</w:t>
            </w:r>
          </w:p>
        </w:tc>
        <w:tc>
          <w:tcPr>
            <w:tcW w:w="6677" w:type="dxa"/>
            <w:shd w:val="clear" w:color="auto" w:fill="auto"/>
            <w:vAlign w:val="center"/>
          </w:tcPr>
          <w:p w14:paraId="44E481C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提供对现有维保存储微码、驱动提供升级服务</w:t>
            </w:r>
          </w:p>
        </w:tc>
      </w:tr>
      <w:tr w14:paraId="25E97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EE6367A">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配置调整</w:t>
            </w:r>
          </w:p>
        </w:tc>
        <w:tc>
          <w:tcPr>
            <w:tcW w:w="6677" w:type="dxa"/>
            <w:shd w:val="clear" w:color="auto" w:fill="auto"/>
            <w:vAlign w:val="center"/>
          </w:tcPr>
          <w:p w14:paraId="3A41A52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提供对现有维保存储配件优化，调整，合理优化配置的建议</w:t>
            </w:r>
          </w:p>
        </w:tc>
      </w:tr>
      <w:tr w14:paraId="63C24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6BCEFD2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调优服务</w:t>
            </w:r>
          </w:p>
        </w:tc>
        <w:tc>
          <w:tcPr>
            <w:tcW w:w="6677" w:type="dxa"/>
            <w:shd w:val="clear" w:color="auto" w:fill="auto"/>
            <w:vAlign w:val="center"/>
          </w:tcPr>
          <w:p w14:paraId="23A1E211">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提供对现有维保存储设备读写Cache比例调整；、raid 保护级别调整、存储设备新增硬盘或新增磁盘扩展柜、逻辑容量调整、分配主机调整、光纤交换机配置调整、控制器及硬件微码升级、模块升级等优化服务</w:t>
            </w:r>
          </w:p>
        </w:tc>
      </w:tr>
      <w:tr w14:paraId="54CBC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381801BF">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安装实施及升级</w:t>
            </w:r>
          </w:p>
        </w:tc>
        <w:tc>
          <w:tcPr>
            <w:tcW w:w="6677" w:type="dxa"/>
            <w:shd w:val="clear" w:color="auto" w:fill="auto"/>
            <w:vAlign w:val="center"/>
          </w:tcPr>
          <w:p w14:paraId="0B1E129D">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对维保存储进行安装、上架实施等集成服务；设备存储扩容升级服务</w:t>
            </w:r>
          </w:p>
        </w:tc>
      </w:tr>
      <w:tr w14:paraId="4CC51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49EAAC20">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备件保障</w:t>
            </w:r>
          </w:p>
        </w:tc>
        <w:tc>
          <w:tcPr>
            <w:tcW w:w="6677" w:type="dxa"/>
            <w:shd w:val="clear" w:color="auto" w:fill="auto"/>
            <w:vAlign w:val="center"/>
          </w:tcPr>
          <w:p w14:paraId="459B37C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核心设备提供现场备件，建立现场备件仓库，定期补充盘点现场备件</w:t>
            </w:r>
          </w:p>
        </w:tc>
      </w:tr>
      <w:tr w14:paraId="77C5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785B729D">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存储日常维护培训</w:t>
            </w:r>
          </w:p>
        </w:tc>
        <w:tc>
          <w:tcPr>
            <w:tcW w:w="6677" w:type="dxa"/>
            <w:shd w:val="clear" w:color="auto" w:fill="auto"/>
            <w:vAlign w:val="center"/>
          </w:tcPr>
          <w:p w14:paraId="60ED7011">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对客户或者第三方驻场人员提供远程或者现场存储知识培训</w:t>
            </w:r>
          </w:p>
        </w:tc>
      </w:tr>
    </w:tbl>
    <w:p w14:paraId="7B80F5E4">
      <w:pPr>
        <w:rPr>
          <w:highlight w:val="none"/>
        </w:rPr>
      </w:pPr>
    </w:p>
    <w:p w14:paraId="47E1E471">
      <w:pPr>
        <w:pStyle w:val="4"/>
        <w:numPr>
          <w:ilvl w:val="0"/>
          <w:numId w:val="4"/>
        </w:numPr>
        <w:rPr>
          <w:rFonts w:hint="eastAsia" w:asciiTheme="minorEastAsia" w:hAnsiTheme="minorEastAsia" w:eastAsiaTheme="minorEastAsia"/>
          <w:highlight w:val="none"/>
        </w:rPr>
      </w:pPr>
      <w:bookmarkStart w:id="5" w:name="_Toc14681"/>
      <w:r>
        <w:rPr>
          <w:rFonts w:hint="eastAsia" w:asciiTheme="minorEastAsia" w:hAnsiTheme="minorEastAsia" w:eastAsiaTheme="minorEastAsia"/>
          <w:highlight w:val="none"/>
        </w:rPr>
        <w:t>私有云维保服务内容</w:t>
      </w:r>
      <w:bookmarkEnd w:id="5"/>
    </w:p>
    <w:p w14:paraId="2D527748">
      <w:pPr>
        <w:spacing w:line="360" w:lineRule="auto"/>
        <w:rPr>
          <w:highlight w:val="none"/>
        </w:rPr>
      </w:pPr>
      <w:r>
        <w:rPr>
          <w:rFonts w:hint="eastAsia"/>
          <w:b/>
          <w:bCs/>
          <w:highlight w:val="none"/>
        </w:rPr>
        <w:t>维护保养的范围，服务需求内容概述如下表：</w:t>
      </w:r>
    </w:p>
    <w:tbl>
      <w:tblPr>
        <w:tblStyle w:val="16"/>
        <w:tblW w:w="915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677"/>
      </w:tblGrid>
      <w:tr w14:paraId="027C6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482" w:type="dxa"/>
            <w:shd w:val="clear" w:color="auto" w:fill="D7D7D7" w:themeFill="background1" w:themeFillShade="D8"/>
            <w:noWrap/>
            <w:vAlign w:val="bottom"/>
          </w:tcPr>
          <w:p w14:paraId="68E90B15">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项目</w:t>
            </w:r>
          </w:p>
        </w:tc>
        <w:tc>
          <w:tcPr>
            <w:tcW w:w="6677" w:type="dxa"/>
            <w:shd w:val="clear" w:color="auto" w:fill="D7D7D7" w:themeFill="background1" w:themeFillShade="D8"/>
            <w:noWrap/>
            <w:vAlign w:val="bottom"/>
          </w:tcPr>
          <w:p w14:paraId="7689AB51">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描述</w:t>
            </w:r>
          </w:p>
        </w:tc>
      </w:tr>
      <w:tr w14:paraId="7CE21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69D0BDED">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日常维护</w:t>
            </w:r>
          </w:p>
        </w:tc>
        <w:tc>
          <w:tcPr>
            <w:tcW w:w="6677" w:type="dxa"/>
            <w:shd w:val="clear" w:color="auto" w:fill="auto"/>
            <w:vAlign w:val="center"/>
          </w:tcPr>
          <w:p w14:paraId="404A3E98">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对现有维保</w:t>
            </w:r>
            <w:r>
              <w:rPr>
                <w:rFonts w:hint="eastAsia" w:asciiTheme="minorEastAsia" w:hAnsiTheme="minorEastAsia" w:eastAsiaTheme="minorEastAsia"/>
                <w:highlight w:val="none"/>
              </w:rPr>
              <w:t>私有云</w:t>
            </w:r>
            <w:r>
              <w:rPr>
                <w:rFonts w:hint="eastAsia" w:asciiTheme="minorEastAsia" w:hAnsiTheme="minorEastAsia" w:eastAsiaTheme="minorEastAsia"/>
                <w:szCs w:val="21"/>
                <w:highlight w:val="none"/>
              </w:rPr>
              <w:t>进行日常维护，日常存储故障处理</w:t>
            </w:r>
          </w:p>
        </w:tc>
      </w:tr>
      <w:tr w14:paraId="531E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0E4409F9">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月度巡检</w:t>
            </w:r>
          </w:p>
        </w:tc>
        <w:tc>
          <w:tcPr>
            <w:tcW w:w="6677" w:type="dxa"/>
            <w:shd w:val="clear" w:color="auto" w:fill="auto"/>
            <w:vAlign w:val="center"/>
          </w:tcPr>
          <w:p w14:paraId="57258201">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每个月进行现场巡检，出具现场巡检报告</w:t>
            </w:r>
          </w:p>
        </w:tc>
      </w:tr>
      <w:tr w14:paraId="3458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2A394BED">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紧急救援服务</w:t>
            </w:r>
          </w:p>
        </w:tc>
        <w:tc>
          <w:tcPr>
            <w:tcW w:w="6677" w:type="dxa"/>
            <w:shd w:val="clear" w:color="auto" w:fill="auto"/>
            <w:noWrap/>
            <w:vAlign w:val="center"/>
          </w:tcPr>
          <w:p w14:paraId="26ABBEC1">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故障紧急响应，要求全年7*24小时现场响应</w:t>
            </w:r>
          </w:p>
        </w:tc>
      </w:tr>
      <w:tr w14:paraId="2D4AD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21D1544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补丁升级</w:t>
            </w:r>
          </w:p>
        </w:tc>
        <w:tc>
          <w:tcPr>
            <w:tcW w:w="6677" w:type="dxa"/>
            <w:shd w:val="clear" w:color="auto" w:fill="auto"/>
            <w:vAlign w:val="center"/>
          </w:tcPr>
          <w:p w14:paraId="29DCD6D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w:t>
            </w:r>
            <w:r>
              <w:rPr>
                <w:rFonts w:hint="eastAsia" w:asciiTheme="minorEastAsia" w:hAnsiTheme="minorEastAsia" w:eastAsiaTheme="minorEastAsia"/>
                <w:highlight w:val="none"/>
              </w:rPr>
              <w:t>私有云</w:t>
            </w:r>
            <w:r>
              <w:rPr>
                <w:rFonts w:hint="eastAsia" w:asciiTheme="minorEastAsia" w:hAnsiTheme="minorEastAsia" w:eastAsiaTheme="minorEastAsia"/>
                <w:szCs w:val="21"/>
                <w:highlight w:val="none"/>
              </w:rPr>
              <w:t>版本、驱动提供升级服务</w:t>
            </w:r>
          </w:p>
        </w:tc>
      </w:tr>
      <w:tr w14:paraId="511B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5307A2DD">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配置调整</w:t>
            </w:r>
          </w:p>
        </w:tc>
        <w:tc>
          <w:tcPr>
            <w:tcW w:w="6677" w:type="dxa"/>
            <w:shd w:val="clear" w:color="auto" w:fill="auto"/>
            <w:vAlign w:val="center"/>
          </w:tcPr>
          <w:p w14:paraId="568DE04B">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w:t>
            </w:r>
            <w:r>
              <w:rPr>
                <w:rFonts w:hint="eastAsia" w:asciiTheme="minorEastAsia" w:hAnsiTheme="minorEastAsia" w:eastAsiaTheme="minorEastAsia"/>
                <w:highlight w:val="none"/>
              </w:rPr>
              <w:t>私有云</w:t>
            </w:r>
            <w:r>
              <w:rPr>
                <w:rFonts w:hint="eastAsia" w:asciiTheme="minorEastAsia" w:hAnsiTheme="minorEastAsia" w:eastAsiaTheme="minorEastAsia"/>
                <w:szCs w:val="21"/>
                <w:highlight w:val="none"/>
              </w:rPr>
              <w:t>优化，调整，合理优化配置的建议</w:t>
            </w:r>
          </w:p>
        </w:tc>
      </w:tr>
      <w:tr w14:paraId="681B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3BEA274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调优服务</w:t>
            </w:r>
          </w:p>
        </w:tc>
        <w:tc>
          <w:tcPr>
            <w:tcW w:w="6677" w:type="dxa"/>
            <w:shd w:val="clear" w:color="auto" w:fill="auto"/>
            <w:vAlign w:val="center"/>
          </w:tcPr>
          <w:p w14:paraId="2B116863">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提供对现有维保私有云中</w:t>
            </w:r>
            <w:r>
              <w:rPr>
                <w:rStyle w:val="29"/>
                <w:rFonts w:hint="eastAsia" w:cs="宋体" w:asciiTheme="minorEastAsia" w:hAnsiTheme="minorEastAsia" w:eastAsiaTheme="minorEastAsia"/>
                <w:szCs w:val="21"/>
                <w:highlight w:val="none"/>
              </w:rPr>
              <w:t>增加服务器节点、虚拟机迁移、优化私有云硬件架构，合理利用硬件资源提升私有云运行效率；</w:t>
            </w:r>
          </w:p>
        </w:tc>
      </w:tr>
      <w:tr w14:paraId="1A381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26B654E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架构优化咨询服务</w:t>
            </w:r>
          </w:p>
        </w:tc>
        <w:tc>
          <w:tcPr>
            <w:tcW w:w="6677" w:type="dxa"/>
            <w:shd w:val="clear" w:color="auto" w:fill="auto"/>
            <w:vAlign w:val="center"/>
          </w:tcPr>
          <w:p w14:paraId="2901788C">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提供对现有维保私有云调研私有云平台系统的配置状况，汇总成清晰的配置信息文档；对现状和需求进行差距分析，根据差距分析提供总体架构设计方案供企业参考决策。</w:t>
            </w:r>
          </w:p>
        </w:tc>
      </w:tr>
      <w:tr w14:paraId="3256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6AB9243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定制私有云运维管理规范</w:t>
            </w:r>
          </w:p>
        </w:tc>
        <w:tc>
          <w:tcPr>
            <w:tcW w:w="6677" w:type="dxa"/>
            <w:shd w:val="clear" w:color="auto" w:fill="auto"/>
            <w:vAlign w:val="center"/>
          </w:tcPr>
          <w:p w14:paraId="702AC872">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提供对现有维保私有云的相关管理规范服务，产出例如：</w:t>
            </w:r>
            <w:r>
              <w:rPr>
                <w:rStyle w:val="29"/>
                <w:rFonts w:hint="eastAsia" w:cs="宋体" w:asciiTheme="minorEastAsia" w:hAnsiTheme="minorEastAsia" w:eastAsiaTheme="minorEastAsia"/>
                <w:szCs w:val="21"/>
                <w:highlight w:val="none"/>
              </w:rPr>
              <w:t>《私有云管理规范操作手册》、《私有云系统模板配置规范》</w:t>
            </w:r>
          </w:p>
        </w:tc>
      </w:tr>
      <w:tr w14:paraId="4688C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7337323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安装实施及升级</w:t>
            </w:r>
          </w:p>
        </w:tc>
        <w:tc>
          <w:tcPr>
            <w:tcW w:w="6677" w:type="dxa"/>
            <w:shd w:val="clear" w:color="auto" w:fill="auto"/>
            <w:vAlign w:val="center"/>
          </w:tcPr>
          <w:p w14:paraId="7F898221">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对维保私有云进行安装、版本升级、迁移、扩容等；</w:t>
            </w:r>
          </w:p>
        </w:tc>
      </w:tr>
      <w:tr w14:paraId="0E729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7EE1D402">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存储日常维护培训</w:t>
            </w:r>
          </w:p>
        </w:tc>
        <w:tc>
          <w:tcPr>
            <w:tcW w:w="6677" w:type="dxa"/>
            <w:shd w:val="clear" w:color="auto" w:fill="auto"/>
            <w:vAlign w:val="center"/>
          </w:tcPr>
          <w:p w14:paraId="6EF9B26C">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对客户或者第三方驻场人员提供远程或者现场私有云知识培训</w:t>
            </w:r>
          </w:p>
        </w:tc>
      </w:tr>
    </w:tbl>
    <w:p w14:paraId="5F4E39A7">
      <w:pPr>
        <w:pStyle w:val="14"/>
        <w:widowControl w:val="0"/>
        <w:numPr>
          <w:ilvl w:val="0"/>
          <w:numId w:val="5"/>
        </w:numPr>
        <w:spacing w:before="0" w:beforeAutospacing="0" w:after="0" w:afterAutospacing="0" w:line="360" w:lineRule="auto"/>
        <w:rPr>
          <w:rStyle w:val="29"/>
          <w:rFonts w:hint="eastAsia" w:cs="宋体" w:asciiTheme="minorEastAsia" w:hAnsiTheme="minorEastAsia" w:eastAsiaTheme="minorEastAsia"/>
          <w:kern w:val="2"/>
          <w:sz w:val="21"/>
          <w:szCs w:val="21"/>
          <w:highlight w:val="none"/>
        </w:rPr>
      </w:pPr>
    </w:p>
    <w:p w14:paraId="0CB356B0">
      <w:pPr>
        <w:pStyle w:val="4"/>
        <w:rPr>
          <w:rFonts w:asciiTheme="minorEastAsia" w:hAnsiTheme="minorEastAsia" w:eastAsiaTheme="minorEastAsia"/>
          <w:highlight w:val="none"/>
        </w:rPr>
      </w:pPr>
      <w:bookmarkStart w:id="6" w:name="_Toc8726"/>
      <w:r>
        <w:rPr>
          <w:rFonts w:hint="eastAsia" w:asciiTheme="minorEastAsia" w:hAnsiTheme="minorEastAsia" w:eastAsiaTheme="minorEastAsia"/>
          <w:highlight w:val="none"/>
        </w:rPr>
        <w:t>七、</w:t>
      </w:r>
      <w:r>
        <w:rPr>
          <w:rFonts w:hint="eastAsia" w:asciiTheme="minorEastAsia" w:hAnsiTheme="minorEastAsia" w:eastAsiaTheme="minorEastAsia"/>
          <w:highlight w:val="none"/>
          <w:lang w:val="en-US" w:eastAsia="zh-CN"/>
        </w:rPr>
        <w:t>操作</w:t>
      </w:r>
      <w:r>
        <w:rPr>
          <w:rFonts w:hint="eastAsia" w:asciiTheme="minorEastAsia" w:hAnsiTheme="minorEastAsia" w:eastAsiaTheme="minorEastAsia"/>
          <w:highlight w:val="none"/>
        </w:rPr>
        <w:t>系统及中间件服务内容</w:t>
      </w:r>
      <w:bookmarkEnd w:id="6"/>
    </w:p>
    <w:p w14:paraId="2864A35C">
      <w:pPr>
        <w:pStyle w:val="5"/>
        <w:numPr>
          <w:ilvl w:val="1"/>
          <w:numId w:val="6"/>
        </w:numPr>
        <w:rPr>
          <w:rFonts w:hint="eastAsia" w:asciiTheme="minorEastAsia" w:hAnsiTheme="minorEastAsia" w:eastAsiaTheme="minorEastAsia"/>
          <w:highlight w:val="none"/>
        </w:rPr>
      </w:pPr>
      <w:bookmarkStart w:id="7" w:name="_Toc8255"/>
      <w:r>
        <w:rPr>
          <w:rFonts w:hint="eastAsia" w:asciiTheme="minorEastAsia" w:hAnsiTheme="minorEastAsia" w:eastAsiaTheme="minorEastAsia"/>
          <w:highlight w:val="none"/>
          <w:lang w:val="en-US" w:eastAsia="zh-CN"/>
        </w:rPr>
        <w:t>操作</w:t>
      </w:r>
      <w:r>
        <w:rPr>
          <w:rFonts w:hint="eastAsia" w:asciiTheme="minorEastAsia" w:hAnsiTheme="minorEastAsia" w:eastAsiaTheme="minorEastAsia"/>
          <w:highlight w:val="none"/>
        </w:rPr>
        <w:t>系统服务内容</w:t>
      </w:r>
      <w:bookmarkEnd w:id="7"/>
    </w:p>
    <w:p w14:paraId="457E3841">
      <w:pPr>
        <w:spacing w:line="360" w:lineRule="auto"/>
        <w:rPr>
          <w:rFonts w:hint="default"/>
          <w:b/>
          <w:bCs/>
          <w:highlight w:val="none"/>
          <w:lang w:val="en-US" w:eastAsia="zh-CN"/>
        </w:rPr>
      </w:pPr>
      <w:r>
        <w:rPr>
          <w:rFonts w:hint="eastAsia"/>
          <w:b/>
          <w:bCs/>
          <w:highlight w:val="none"/>
        </w:rPr>
        <w:t>维护保养的范围</w:t>
      </w:r>
      <w:r>
        <w:rPr>
          <w:rFonts w:hint="eastAsia"/>
          <w:b/>
          <w:bCs/>
          <w:highlight w:val="none"/>
          <w:lang w:eastAsia="zh-CN"/>
        </w:rPr>
        <w:t>：</w:t>
      </w:r>
      <w:r>
        <w:rPr>
          <w:rFonts w:hint="eastAsia"/>
          <w:b/>
          <w:bCs/>
          <w:highlight w:val="none"/>
          <w:lang w:val="en-US" w:eastAsia="zh-CN"/>
        </w:rPr>
        <w:t>虚拟化平台服务器</w:t>
      </w:r>
      <w:r>
        <w:rPr>
          <w:rFonts w:hint="eastAsia"/>
          <w:b/>
          <w:bCs/>
          <w:highlight w:val="none"/>
          <w:lang w:eastAsia="zh-CN"/>
        </w:rPr>
        <w:t>：386+48（</w:t>
      </w:r>
      <w:r>
        <w:rPr>
          <w:rFonts w:hint="eastAsia"/>
          <w:b/>
          <w:bCs/>
          <w:highlight w:val="none"/>
          <w:lang w:val="en-US" w:eastAsia="zh-CN"/>
        </w:rPr>
        <w:t>含虚拟化平台操作系统</w:t>
      </w:r>
      <w:r>
        <w:rPr>
          <w:rFonts w:hint="eastAsia"/>
          <w:b/>
          <w:bCs/>
          <w:highlight w:val="none"/>
          <w:lang w:eastAsia="zh-CN"/>
        </w:rPr>
        <w:t>模版），物理机：175(含18套</w:t>
      </w:r>
      <w:r>
        <w:rPr>
          <w:rFonts w:hint="eastAsia"/>
          <w:b/>
          <w:bCs/>
          <w:highlight w:val="none"/>
          <w:lang w:val="en-US" w:eastAsia="zh-CN"/>
        </w:rPr>
        <w:t>虚拟化平台主机</w:t>
      </w:r>
      <w:r>
        <w:rPr>
          <w:rFonts w:hint="eastAsia"/>
          <w:b/>
          <w:bCs/>
          <w:highlight w:val="none"/>
          <w:lang w:eastAsia="zh-CN"/>
        </w:rPr>
        <w:t>)，总计：609</w:t>
      </w:r>
      <w:r>
        <w:rPr>
          <w:rFonts w:hint="eastAsia"/>
          <w:b/>
          <w:bCs/>
          <w:highlight w:val="none"/>
          <w:lang w:val="en-US" w:eastAsia="zh-CN"/>
        </w:rPr>
        <w:t>套。</w:t>
      </w:r>
    </w:p>
    <w:p w14:paraId="0374AF99">
      <w:pPr>
        <w:spacing w:line="360" w:lineRule="auto"/>
        <w:rPr>
          <w:b/>
          <w:bCs/>
          <w:highlight w:val="none"/>
        </w:rPr>
      </w:pPr>
      <w:r>
        <w:rPr>
          <w:rFonts w:hint="eastAsia"/>
          <w:b/>
          <w:bCs/>
          <w:highlight w:val="none"/>
        </w:rPr>
        <w:t>服务需求内容概述如下表：</w:t>
      </w:r>
    </w:p>
    <w:tbl>
      <w:tblPr>
        <w:tblStyle w:val="16"/>
        <w:tblW w:w="915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677"/>
      </w:tblGrid>
      <w:tr w14:paraId="746E5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482" w:type="dxa"/>
            <w:shd w:val="clear" w:color="auto" w:fill="D7D7D7" w:themeFill="background1" w:themeFillShade="D8"/>
            <w:noWrap/>
            <w:vAlign w:val="bottom"/>
          </w:tcPr>
          <w:p w14:paraId="7C2250EE">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项目</w:t>
            </w:r>
          </w:p>
        </w:tc>
        <w:tc>
          <w:tcPr>
            <w:tcW w:w="6677" w:type="dxa"/>
            <w:shd w:val="clear" w:color="auto" w:fill="D7D7D7" w:themeFill="background1" w:themeFillShade="D8"/>
            <w:noWrap/>
            <w:vAlign w:val="bottom"/>
          </w:tcPr>
          <w:p w14:paraId="4CA8E03C">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描述</w:t>
            </w:r>
          </w:p>
        </w:tc>
      </w:tr>
      <w:tr w14:paraId="4CB0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32432395">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日常维护</w:t>
            </w:r>
          </w:p>
        </w:tc>
        <w:tc>
          <w:tcPr>
            <w:tcW w:w="6677" w:type="dxa"/>
            <w:shd w:val="clear" w:color="auto" w:fill="auto"/>
            <w:vAlign w:val="center"/>
          </w:tcPr>
          <w:p w14:paraId="07A23FE3">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对现有维保</w:t>
            </w:r>
            <w:r>
              <w:rPr>
                <w:rFonts w:hint="eastAsia" w:asciiTheme="minorEastAsia" w:hAnsiTheme="minorEastAsia" w:eastAsiaTheme="minorEastAsia"/>
                <w:highlight w:val="none"/>
                <w:lang w:val="en-US" w:eastAsia="zh-CN"/>
              </w:rPr>
              <w:t>操作系统</w:t>
            </w:r>
            <w:r>
              <w:rPr>
                <w:rFonts w:hint="eastAsia" w:asciiTheme="minorEastAsia" w:hAnsiTheme="minorEastAsia" w:eastAsiaTheme="minorEastAsia"/>
                <w:szCs w:val="21"/>
                <w:highlight w:val="none"/>
              </w:rPr>
              <w:t>进行日常维护，日常故障处理</w:t>
            </w:r>
          </w:p>
        </w:tc>
      </w:tr>
      <w:tr w14:paraId="759D0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3A54A741">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月度巡检</w:t>
            </w:r>
          </w:p>
        </w:tc>
        <w:tc>
          <w:tcPr>
            <w:tcW w:w="6677" w:type="dxa"/>
            <w:shd w:val="clear" w:color="auto" w:fill="auto"/>
            <w:vAlign w:val="center"/>
          </w:tcPr>
          <w:p w14:paraId="74D75FD9">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每个月进行现场巡检，出具现场巡检报告</w:t>
            </w:r>
          </w:p>
        </w:tc>
      </w:tr>
      <w:tr w14:paraId="358D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6BDA1E97">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紧急救援服务</w:t>
            </w:r>
          </w:p>
        </w:tc>
        <w:tc>
          <w:tcPr>
            <w:tcW w:w="6677" w:type="dxa"/>
            <w:shd w:val="clear" w:color="auto" w:fill="auto"/>
            <w:noWrap/>
            <w:vAlign w:val="center"/>
          </w:tcPr>
          <w:p w14:paraId="6E987E1E">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故障紧急响应，要求全年7*24小时现场响应</w:t>
            </w:r>
          </w:p>
        </w:tc>
      </w:tr>
      <w:tr w14:paraId="4454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571135F3">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中间件补丁和系统升级服务</w:t>
            </w:r>
          </w:p>
        </w:tc>
        <w:tc>
          <w:tcPr>
            <w:tcW w:w="6677" w:type="dxa"/>
            <w:shd w:val="clear" w:color="auto" w:fill="auto"/>
            <w:vAlign w:val="center"/>
          </w:tcPr>
          <w:p w14:paraId="65A743A1">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w:t>
            </w:r>
            <w:r>
              <w:rPr>
                <w:rFonts w:hint="eastAsia" w:asciiTheme="minorEastAsia" w:hAnsiTheme="minorEastAsia" w:eastAsiaTheme="minorEastAsia"/>
                <w:szCs w:val="21"/>
                <w:highlight w:val="none"/>
                <w:lang w:val="en-US" w:eastAsia="zh-CN"/>
              </w:rPr>
              <w:t>操作系统</w:t>
            </w:r>
            <w:r>
              <w:rPr>
                <w:rFonts w:hint="eastAsia" w:asciiTheme="minorEastAsia" w:hAnsiTheme="minorEastAsia" w:eastAsiaTheme="minorEastAsia"/>
                <w:szCs w:val="21"/>
                <w:highlight w:val="none"/>
              </w:rPr>
              <w:t>的补丁和版本升级服务</w:t>
            </w:r>
          </w:p>
        </w:tc>
      </w:tr>
      <w:tr w14:paraId="3D0EA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69A5538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配置调整</w:t>
            </w:r>
          </w:p>
        </w:tc>
        <w:tc>
          <w:tcPr>
            <w:tcW w:w="6677" w:type="dxa"/>
            <w:shd w:val="clear" w:color="auto" w:fill="auto"/>
            <w:vAlign w:val="center"/>
          </w:tcPr>
          <w:p w14:paraId="238F0557">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w:t>
            </w:r>
            <w:r>
              <w:rPr>
                <w:rFonts w:hint="eastAsia" w:asciiTheme="minorEastAsia" w:hAnsiTheme="minorEastAsia" w:eastAsiaTheme="minorEastAsia"/>
                <w:szCs w:val="21"/>
                <w:highlight w:val="none"/>
                <w:lang w:val="en-US" w:eastAsia="zh-CN"/>
              </w:rPr>
              <w:t>操作系统</w:t>
            </w:r>
            <w:r>
              <w:rPr>
                <w:rFonts w:hint="eastAsia" w:asciiTheme="minorEastAsia" w:hAnsiTheme="minorEastAsia" w:eastAsiaTheme="minorEastAsia"/>
                <w:szCs w:val="21"/>
                <w:highlight w:val="none"/>
              </w:rPr>
              <w:t>的日常配置调整、配置变更</w:t>
            </w:r>
          </w:p>
        </w:tc>
      </w:tr>
      <w:tr w14:paraId="137F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7720DA1">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疑难杂症辅助故障定位服务</w:t>
            </w:r>
          </w:p>
        </w:tc>
        <w:tc>
          <w:tcPr>
            <w:tcW w:w="6677" w:type="dxa"/>
            <w:shd w:val="clear" w:color="auto" w:fill="auto"/>
            <w:vAlign w:val="center"/>
          </w:tcPr>
          <w:p w14:paraId="2B3A337E">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w:t>
            </w:r>
            <w:r>
              <w:rPr>
                <w:rFonts w:hint="eastAsia" w:asciiTheme="minorEastAsia" w:hAnsiTheme="minorEastAsia" w:eastAsiaTheme="minorEastAsia"/>
                <w:szCs w:val="21"/>
                <w:highlight w:val="none"/>
                <w:lang w:val="en-US" w:eastAsia="zh-CN"/>
              </w:rPr>
              <w:t>操作系统</w:t>
            </w:r>
            <w:r>
              <w:rPr>
                <w:rFonts w:hint="eastAsia" w:asciiTheme="minorEastAsia" w:hAnsiTheme="minorEastAsia" w:eastAsiaTheme="minorEastAsia"/>
                <w:szCs w:val="21"/>
                <w:highlight w:val="none"/>
              </w:rPr>
              <w:t>所涉及到的上下游访问异常的疑难杂症处理。</w:t>
            </w:r>
          </w:p>
        </w:tc>
      </w:tr>
      <w:tr w14:paraId="300FE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3B0F2CFE">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中间件性能评估和优化服务</w:t>
            </w:r>
          </w:p>
        </w:tc>
        <w:tc>
          <w:tcPr>
            <w:tcW w:w="6677" w:type="dxa"/>
            <w:shd w:val="clear" w:color="auto" w:fill="auto"/>
            <w:vAlign w:val="center"/>
          </w:tcPr>
          <w:p w14:paraId="11BBC9A4">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w:t>
            </w:r>
            <w:r>
              <w:rPr>
                <w:rFonts w:hint="eastAsia" w:asciiTheme="minorEastAsia" w:hAnsiTheme="minorEastAsia" w:eastAsiaTheme="minorEastAsia"/>
                <w:szCs w:val="21"/>
                <w:highlight w:val="none"/>
                <w:lang w:val="en-US" w:eastAsia="zh-CN"/>
              </w:rPr>
              <w:t>操作系统</w:t>
            </w:r>
            <w:r>
              <w:rPr>
                <w:rFonts w:hint="eastAsia" w:asciiTheme="minorEastAsia" w:hAnsiTheme="minorEastAsia" w:eastAsiaTheme="minorEastAsia"/>
                <w:szCs w:val="21"/>
                <w:highlight w:val="none"/>
              </w:rPr>
              <w:t>的</w:t>
            </w:r>
            <w:r>
              <w:rPr>
                <w:rStyle w:val="29"/>
                <w:rFonts w:hint="eastAsia" w:cs="宋体" w:asciiTheme="minorEastAsia" w:hAnsiTheme="minorEastAsia" w:eastAsiaTheme="minorEastAsia"/>
                <w:kern w:val="0"/>
                <w:szCs w:val="21"/>
                <w:highlight w:val="none"/>
              </w:rPr>
              <w:t>可能存在的性能问题，从系统、网络、应用软件、中间件及数据库等各方面进行全面的分析、评估和调整</w:t>
            </w:r>
          </w:p>
        </w:tc>
      </w:tr>
      <w:tr w14:paraId="472C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1D67168C">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制定及完善中间件管理规范</w:t>
            </w:r>
          </w:p>
        </w:tc>
        <w:tc>
          <w:tcPr>
            <w:tcW w:w="6677" w:type="dxa"/>
            <w:shd w:val="clear" w:color="auto" w:fill="auto"/>
            <w:vAlign w:val="center"/>
          </w:tcPr>
          <w:p w14:paraId="293164B0">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w:t>
            </w:r>
            <w:r>
              <w:rPr>
                <w:rFonts w:hint="eastAsia" w:asciiTheme="minorEastAsia" w:hAnsiTheme="minorEastAsia" w:eastAsiaTheme="minorEastAsia"/>
                <w:szCs w:val="21"/>
                <w:highlight w:val="none"/>
                <w:lang w:val="en-US" w:eastAsia="zh-CN"/>
              </w:rPr>
              <w:t>操作</w:t>
            </w:r>
            <w:r>
              <w:rPr>
                <w:rStyle w:val="29"/>
                <w:rFonts w:hint="eastAsia" w:cs="宋体" w:asciiTheme="minorEastAsia" w:hAnsiTheme="minorEastAsia" w:eastAsiaTheme="minorEastAsia"/>
                <w:kern w:val="0"/>
                <w:szCs w:val="21"/>
                <w:highlight w:val="none"/>
              </w:rPr>
              <w:t>系统的实际情况，量身定制出</w:t>
            </w:r>
            <w:r>
              <w:rPr>
                <w:rFonts w:hint="eastAsia" w:asciiTheme="minorEastAsia" w:hAnsiTheme="minorEastAsia" w:eastAsiaTheme="minorEastAsia"/>
                <w:szCs w:val="21"/>
                <w:highlight w:val="none"/>
                <w:lang w:val="en-US" w:eastAsia="zh-CN"/>
              </w:rPr>
              <w:t>操作系统</w:t>
            </w:r>
            <w:r>
              <w:rPr>
                <w:rStyle w:val="29"/>
                <w:rFonts w:hint="eastAsia" w:cs="宋体" w:asciiTheme="minorEastAsia" w:hAnsiTheme="minorEastAsia" w:eastAsiaTheme="minorEastAsia"/>
                <w:kern w:val="0"/>
                <w:szCs w:val="21"/>
                <w:highlight w:val="none"/>
              </w:rPr>
              <w:t>日常管理规范和操作</w:t>
            </w:r>
          </w:p>
        </w:tc>
      </w:tr>
      <w:tr w14:paraId="237A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35F3025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中间件迁移服务</w:t>
            </w:r>
          </w:p>
        </w:tc>
        <w:tc>
          <w:tcPr>
            <w:tcW w:w="6677" w:type="dxa"/>
            <w:shd w:val="clear" w:color="auto" w:fill="auto"/>
            <w:vAlign w:val="center"/>
          </w:tcPr>
          <w:p w14:paraId="383FD76B">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提供对现有维保</w:t>
            </w:r>
            <w:r>
              <w:rPr>
                <w:rFonts w:hint="eastAsia" w:asciiTheme="minorEastAsia" w:hAnsiTheme="minorEastAsia" w:eastAsiaTheme="minorEastAsia"/>
                <w:szCs w:val="21"/>
                <w:highlight w:val="none"/>
                <w:lang w:val="en-US" w:eastAsia="zh-CN"/>
              </w:rPr>
              <w:t>操作系统</w:t>
            </w:r>
            <w:r>
              <w:rPr>
                <w:rFonts w:hint="eastAsia" w:asciiTheme="minorEastAsia" w:hAnsiTheme="minorEastAsia" w:eastAsiaTheme="minorEastAsia"/>
                <w:szCs w:val="21"/>
                <w:highlight w:val="none"/>
              </w:rPr>
              <w:t>软件的迁移服务</w:t>
            </w:r>
          </w:p>
        </w:tc>
      </w:tr>
      <w:tr w14:paraId="2DD31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0AADE90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中间件日常维护培训</w:t>
            </w:r>
          </w:p>
        </w:tc>
        <w:tc>
          <w:tcPr>
            <w:tcW w:w="6677" w:type="dxa"/>
            <w:shd w:val="clear" w:color="auto" w:fill="auto"/>
            <w:vAlign w:val="center"/>
          </w:tcPr>
          <w:p w14:paraId="060B953C">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对客户或者第三方驻场人员提供远程或者现场</w:t>
            </w:r>
            <w:r>
              <w:rPr>
                <w:rFonts w:hint="eastAsia" w:asciiTheme="minorEastAsia" w:hAnsiTheme="minorEastAsia" w:eastAsiaTheme="minorEastAsia"/>
                <w:szCs w:val="21"/>
                <w:highlight w:val="none"/>
                <w:lang w:val="en-US" w:eastAsia="zh-CN"/>
              </w:rPr>
              <w:t>操作系统</w:t>
            </w:r>
            <w:r>
              <w:rPr>
                <w:rFonts w:hint="eastAsia" w:asciiTheme="minorEastAsia" w:hAnsiTheme="minorEastAsia" w:eastAsiaTheme="minorEastAsia"/>
                <w:szCs w:val="21"/>
                <w:highlight w:val="none"/>
              </w:rPr>
              <w:t>知识培训</w:t>
            </w:r>
          </w:p>
        </w:tc>
      </w:tr>
    </w:tbl>
    <w:p w14:paraId="1CAB48FD">
      <w:pPr>
        <w:rPr>
          <w:rFonts w:hint="eastAsia" w:asciiTheme="minorEastAsia" w:hAnsiTheme="minorEastAsia" w:eastAsiaTheme="minorEastAsia"/>
          <w:highlight w:val="none"/>
        </w:rPr>
      </w:pPr>
    </w:p>
    <w:p w14:paraId="13A6B1CD">
      <w:pPr>
        <w:pStyle w:val="5"/>
        <w:numPr>
          <w:ilvl w:val="1"/>
          <w:numId w:val="6"/>
        </w:numPr>
        <w:rPr>
          <w:rFonts w:hint="eastAsia" w:asciiTheme="minorEastAsia" w:hAnsiTheme="minorEastAsia" w:eastAsiaTheme="minorEastAsia"/>
          <w:highlight w:val="none"/>
        </w:rPr>
      </w:pPr>
      <w:bookmarkStart w:id="8" w:name="_Toc24919"/>
      <w:r>
        <w:rPr>
          <w:rFonts w:hint="eastAsia" w:asciiTheme="minorEastAsia" w:hAnsiTheme="minorEastAsia" w:eastAsiaTheme="minorEastAsia"/>
          <w:highlight w:val="none"/>
        </w:rPr>
        <w:t>中间件服务内容</w:t>
      </w:r>
      <w:bookmarkEnd w:id="8"/>
    </w:p>
    <w:p w14:paraId="74569D6D">
      <w:pPr>
        <w:spacing w:line="360" w:lineRule="auto"/>
        <w:rPr>
          <w:highlight w:val="none"/>
        </w:rPr>
      </w:pPr>
      <w:bookmarkStart w:id="9" w:name="_Toc15173"/>
      <w:r>
        <w:rPr>
          <w:rFonts w:hint="eastAsia"/>
          <w:highlight w:val="none"/>
        </w:rPr>
        <w:t>1、工作内容</w:t>
      </w:r>
      <w:bookmarkEnd w:id="9"/>
    </w:p>
    <w:p w14:paraId="43C0F42C">
      <w:pPr>
        <w:spacing w:line="360" w:lineRule="auto"/>
        <w:ind w:firstLine="420" w:firstLineChars="200"/>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本项目中间件系统如下：Nginx、Tomcat、Redis、Keepalived、Apache等应用基础中间件及其他自主品牌等中间件</w:t>
      </w:r>
      <w:r>
        <w:rPr>
          <w:rStyle w:val="29"/>
          <w:rFonts w:hint="eastAsia" w:cs="宋体" w:asciiTheme="minorEastAsia" w:hAnsiTheme="minorEastAsia" w:eastAsiaTheme="minorEastAsia"/>
          <w:kern w:val="0"/>
          <w:szCs w:val="21"/>
          <w:highlight w:val="none"/>
          <w:lang w:eastAsia="zh-CN"/>
        </w:rPr>
        <w:t>，</w:t>
      </w:r>
      <w:r>
        <w:rPr>
          <w:rStyle w:val="29"/>
          <w:rFonts w:hint="eastAsia" w:cs="宋体" w:asciiTheme="minorEastAsia" w:hAnsiTheme="minorEastAsia" w:eastAsiaTheme="minorEastAsia"/>
          <w:kern w:val="0"/>
          <w:szCs w:val="21"/>
          <w:highlight w:val="none"/>
          <w:lang w:val="en-US" w:eastAsia="zh-CN"/>
        </w:rPr>
        <w:t>合计33套，</w:t>
      </w:r>
      <w:r>
        <w:rPr>
          <w:rStyle w:val="29"/>
          <w:rFonts w:hint="eastAsia" w:cs="宋体" w:asciiTheme="minorEastAsia" w:hAnsiTheme="minorEastAsia" w:eastAsiaTheme="minorEastAsia"/>
          <w:kern w:val="0"/>
          <w:szCs w:val="21"/>
          <w:highlight w:val="none"/>
        </w:rPr>
        <w:t>维保服务包括：</w:t>
      </w:r>
    </w:p>
    <w:p w14:paraId="7F9C1820">
      <w:pPr>
        <w:numPr>
          <w:ilvl w:val="0"/>
          <w:numId w:val="7"/>
        </w:numPr>
        <w:spacing w:line="360" w:lineRule="auto"/>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预防性维护服务，每个月对中间件系统进行例行检查，检查系统的运行状况，查看系统日志；并根据检查结果提供建议，必要时进行预防性维修，并提交服务报告。</w:t>
      </w:r>
    </w:p>
    <w:p w14:paraId="45309853">
      <w:pPr>
        <w:numPr>
          <w:ilvl w:val="0"/>
          <w:numId w:val="7"/>
        </w:numPr>
        <w:spacing w:line="360" w:lineRule="auto"/>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中间件软件崩溃恢复支持服务，恢复中间件系统软件运行，检查系统日志，收集错误信息，进行故障原因分析。</w:t>
      </w:r>
    </w:p>
    <w:p w14:paraId="18FAC2E0">
      <w:pPr>
        <w:numPr>
          <w:ilvl w:val="0"/>
          <w:numId w:val="7"/>
        </w:numPr>
        <w:spacing w:line="360" w:lineRule="auto"/>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综合故障诊断服务，对业务系统及IT基础架构进行全局分析，根据实际情况编写脚本程序检测系统故障及性能，并对发现的问题提出整改或优化方案，并协助院方修复。</w:t>
      </w:r>
    </w:p>
    <w:p w14:paraId="5634E33F">
      <w:pPr>
        <w:numPr>
          <w:ilvl w:val="0"/>
          <w:numId w:val="7"/>
        </w:numPr>
        <w:spacing w:line="360" w:lineRule="auto"/>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提供中间件产品补丁和版本升级服务，服务期内如果产品有任何大版本和小版本的升级，应及时将升级版本的介质和相关许可证（如有的）给采购人。</w:t>
      </w:r>
    </w:p>
    <w:p w14:paraId="3643DFC8">
      <w:pPr>
        <w:numPr>
          <w:ilvl w:val="0"/>
          <w:numId w:val="7"/>
        </w:numPr>
        <w:spacing w:line="360" w:lineRule="auto"/>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对于上述电话等技术支持服务无法解决或解答的问题，安排工程师到现场解决。</w:t>
      </w:r>
    </w:p>
    <w:p w14:paraId="58A2BCD9">
      <w:pPr>
        <w:numPr>
          <w:ilvl w:val="0"/>
          <w:numId w:val="7"/>
        </w:numPr>
        <w:spacing w:line="360" w:lineRule="auto"/>
        <w:rPr>
          <w:rStyle w:val="29"/>
          <w:rFonts w:hint="eastAsia" w:cs="宋体" w:asciiTheme="minorEastAsia" w:hAnsiTheme="minorEastAsia" w:eastAsiaTheme="minorEastAsia"/>
          <w:kern w:val="0"/>
          <w:szCs w:val="21"/>
          <w:highlight w:val="none"/>
        </w:rPr>
      </w:pPr>
      <w:r>
        <w:rPr>
          <w:rStyle w:val="29"/>
          <w:rFonts w:hint="eastAsia" w:cs="宋体" w:asciiTheme="minorEastAsia" w:hAnsiTheme="minorEastAsia" w:eastAsiaTheme="minorEastAsia"/>
          <w:kern w:val="0"/>
          <w:szCs w:val="21"/>
          <w:highlight w:val="none"/>
        </w:rPr>
        <w:t>提供电话、网络等多种方式的7*24故障报修和技术支持服务。</w:t>
      </w:r>
    </w:p>
    <w:p w14:paraId="60E1FB49">
      <w:pPr>
        <w:pStyle w:val="4"/>
        <w:rPr>
          <w:rFonts w:hint="eastAsia" w:asciiTheme="minorEastAsia" w:hAnsiTheme="minorEastAsia" w:eastAsiaTheme="minorEastAsia"/>
          <w:highlight w:val="none"/>
        </w:rPr>
      </w:pPr>
      <w:bookmarkStart w:id="10" w:name="_Toc9738"/>
      <w:r>
        <w:rPr>
          <w:rFonts w:hint="eastAsia"/>
          <w:highlight w:val="none"/>
        </w:rPr>
        <w:t>2、</w:t>
      </w:r>
      <w:bookmarkEnd w:id="10"/>
      <w:r>
        <w:rPr>
          <w:rFonts w:hint="eastAsia" w:asciiTheme="minorEastAsia" w:hAnsiTheme="minorEastAsia" w:eastAsiaTheme="minorEastAsia"/>
          <w:highlight w:val="none"/>
          <w:lang w:val="en-US" w:eastAsia="zh-CN"/>
        </w:rPr>
        <w:t>八、</w:t>
      </w:r>
      <w:r>
        <w:rPr>
          <w:rFonts w:hint="eastAsia" w:asciiTheme="minorEastAsia" w:hAnsiTheme="minorEastAsia" w:eastAsiaTheme="minorEastAsia"/>
          <w:highlight w:val="none"/>
        </w:rPr>
        <w:t>备份软件服务内容</w:t>
      </w:r>
    </w:p>
    <w:p w14:paraId="013B173B">
      <w:pPr>
        <w:spacing w:line="360" w:lineRule="auto"/>
        <w:rPr>
          <w:b/>
          <w:bCs/>
          <w:highlight w:val="none"/>
        </w:rPr>
      </w:pPr>
      <w:r>
        <w:rPr>
          <w:rFonts w:hint="eastAsia"/>
          <w:b/>
          <w:bCs/>
          <w:highlight w:val="none"/>
        </w:rPr>
        <w:t>维护保养的范围，服务需求内容概述如下表：</w:t>
      </w:r>
    </w:p>
    <w:tbl>
      <w:tblPr>
        <w:tblStyle w:val="16"/>
        <w:tblW w:w="9159"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2"/>
        <w:gridCol w:w="6677"/>
      </w:tblGrid>
      <w:tr w14:paraId="7D123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482" w:type="dxa"/>
            <w:shd w:val="clear" w:color="auto" w:fill="D7D7D7" w:themeFill="background1" w:themeFillShade="D8"/>
            <w:noWrap/>
            <w:vAlign w:val="bottom"/>
          </w:tcPr>
          <w:p w14:paraId="58E8ABEC">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项目</w:t>
            </w:r>
          </w:p>
        </w:tc>
        <w:tc>
          <w:tcPr>
            <w:tcW w:w="6677" w:type="dxa"/>
            <w:shd w:val="clear" w:color="auto" w:fill="D7D7D7" w:themeFill="background1" w:themeFillShade="D8"/>
            <w:noWrap/>
            <w:vAlign w:val="bottom"/>
          </w:tcPr>
          <w:p w14:paraId="23E8D625">
            <w:pPr>
              <w:spacing w:line="360" w:lineRule="auto"/>
              <w:jc w:val="center"/>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描述</w:t>
            </w:r>
          </w:p>
        </w:tc>
      </w:tr>
      <w:tr w14:paraId="3F98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5B82F151">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日常维护</w:t>
            </w:r>
          </w:p>
        </w:tc>
        <w:tc>
          <w:tcPr>
            <w:tcW w:w="6677" w:type="dxa"/>
            <w:shd w:val="clear" w:color="auto" w:fill="auto"/>
            <w:vAlign w:val="center"/>
          </w:tcPr>
          <w:p w14:paraId="6A040B47">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对现有备份平台日常维护，检查备份任务是否正常</w:t>
            </w:r>
          </w:p>
        </w:tc>
      </w:tr>
      <w:tr w14:paraId="2067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2482" w:type="dxa"/>
            <w:shd w:val="clear" w:color="auto" w:fill="auto"/>
            <w:noWrap/>
            <w:vAlign w:val="center"/>
          </w:tcPr>
          <w:p w14:paraId="6A41EA86">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月度巡检</w:t>
            </w:r>
          </w:p>
        </w:tc>
        <w:tc>
          <w:tcPr>
            <w:tcW w:w="6677" w:type="dxa"/>
            <w:shd w:val="clear" w:color="auto" w:fill="auto"/>
            <w:vAlign w:val="center"/>
          </w:tcPr>
          <w:p w14:paraId="1C00229F">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每个月进行现场巡检，出具现场巡检报告</w:t>
            </w:r>
          </w:p>
        </w:tc>
      </w:tr>
      <w:tr w14:paraId="6778E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463F6031">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紧急救援服务</w:t>
            </w:r>
          </w:p>
        </w:tc>
        <w:tc>
          <w:tcPr>
            <w:tcW w:w="6677" w:type="dxa"/>
            <w:shd w:val="clear" w:color="auto" w:fill="auto"/>
            <w:noWrap/>
            <w:vAlign w:val="center"/>
          </w:tcPr>
          <w:p w14:paraId="2507F2FC">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故障紧急响应，要求全年7*24小时现场响应</w:t>
            </w:r>
          </w:p>
        </w:tc>
      </w:tr>
      <w:tr w14:paraId="63B43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4D623AF8">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补丁升级</w:t>
            </w:r>
          </w:p>
        </w:tc>
        <w:tc>
          <w:tcPr>
            <w:tcW w:w="6677" w:type="dxa"/>
            <w:shd w:val="clear" w:color="auto" w:fill="auto"/>
            <w:vAlign w:val="center"/>
          </w:tcPr>
          <w:p w14:paraId="0034F3A6">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提供对现有备份平台OS补丁升级、平台版本升级</w:t>
            </w:r>
          </w:p>
        </w:tc>
      </w:tr>
      <w:tr w14:paraId="7720A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752962C4">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备份策略优化</w:t>
            </w:r>
          </w:p>
        </w:tc>
        <w:tc>
          <w:tcPr>
            <w:tcW w:w="6677" w:type="dxa"/>
            <w:shd w:val="clear" w:color="auto" w:fill="auto"/>
            <w:vAlign w:val="center"/>
          </w:tcPr>
          <w:p w14:paraId="3B72F057">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根据现有备份任务，梳理备份数据大小和数据优先级，制定合理备份任务策略，进行备份调优</w:t>
            </w:r>
          </w:p>
        </w:tc>
      </w:tr>
      <w:tr w14:paraId="69C71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82" w:type="dxa"/>
            <w:shd w:val="clear" w:color="auto" w:fill="auto"/>
            <w:noWrap/>
            <w:vAlign w:val="center"/>
          </w:tcPr>
          <w:p w14:paraId="4117D3FF">
            <w:pPr>
              <w:spacing w:line="360" w:lineRule="auto"/>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恢复演练</w:t>
            </w:r>
          </w:p>
        </w:tc>
        <w:tc>
          <w:tcPr>
            <w:tcW w:w="6677" w:type="dxa"/>
            <w:shd w:val="clear" w:color="auto" w:fill="auto"/>
            <w:vAlign w:val="center"/>
          </w:tcPr>
          <w:p w14:paraId="38BB8E58">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不定期提供指定恢复文件进行数据恢复演练</w:t>
            </w:r>
          </w:p>
        </w:tc>
      </w:tr>
    </w:tbl>
    <w:p w14:paraId="0CD6C7E2">
      <w:pPr>
        <w:spacing w:line="360" w:lineRule="auto"/>
        <w:ind w:left="0" w:leftChars="0" w:firstLine="0" w:firstLineChars="0"/>
        <w:rPr>
          <w:rStyle w:val="29"/>
          <w:rFonts w:hint="eastAsia" w:cs="宋体" w:asciiTheme="minorEastAsia" w:hAnsiTheme="minorEastAsia" w:eastAsiaTheme="minorEastAsia"/>
          <w:kern w:val="0"/>
          <w:highlight w:val="none"/>
        </w:rPr>
      </w:pPr>
    </w:p>
    <w:p w14:paraId="3A600F59">
      <w:pPr>
        <w:pStyle w:val="4"/>
        <w:numPr>
          <w:ilvl w:val="0"/>
          <w:numId w:val="8"/>
        </w:numPr>
        <w:rPr>
          <w:rFonts w:hint="eastAsia" w:asciiTheme="minorEastAsia" w:hAnsiTheme="minorEastAsia" w:eastAsiaTheme="minorEastAsia"/>
          <w:highlight w:val="none"/>
        </w:rPr>
      </w:pPr>
      <w:r>
        <w:rPr>
          <w:rFonts w:hint="eastAsia" w:asciiTheme="minorEastAsia" w:hAnsiTheme="minorEastAsia" w:eastAsiaTheme="minorEastAsia"/>
          <w:highlight w:val="none"/>
          <w:lang w:val="en-US" w:eastAsia="zh-CN"/>
        </w:rPr>
        <w:t>其他技术支持</w:t>
      </w:r>
      <w:r>
        <w:rPr>
          <w:rFonts w:hint="eastAsia" w:asciiTheme="minorEastAsia" w:hAnsiTheme="minorEastAsia" w:eastAsiaTheme="minorEastAsia"/>
          <w:highlight w:val="none"/>
        </w:rPr>
        <w:t>服务</w:t>
      </w:r>
    </w:p>
    <w:p w14:paraId="7D84E1FB">
      <w:pPr>
        <w:pStyle w:val="5"/>
        <w:numPr>
          <w:ilvl w:val="1"/>
          <w:numId w:val="9"/>
        </w:numPr>
        <w:rPr>
          <w:highlight w:val="none"/>
        </w:rPr>
      </w:pPr>
      <w:bookmarkStart w:id="11" w:name="_Toc3626"/>
      <w:bookmarkStart w:id="12" w:name="_Toc1791"/>
      <w:r>
        <w:rPr>
          <w:rFonts w:hint="eastAsia"/>
          <w:highlight w:val="none"/>
        </w:rPr>
        <w:t>网络架构优化服务</w:t>
      </w:r>
      <w:bookmarkEnd w:id="11"/>
      <w:bookmarkEnd w:id="12"/>
    </w:p>
    <w:p w14:paraId="241C7DFD">
      <w:pPr>
        <w:pStyle w:val="5"/>
        <w:numPr>
          <w:ilvl w:val="1"/>
          <w:numId w:val="9"/>
        </w:numPr>
        <w:rPr>
          <w:rFonts w:hint="eastAsia" w:ascii="Calibri Light" w:hAnsi="Calibri Light" w:cs="宋体"/>
          <w:kern w:val="2"/>
          <w:highlight w:val="none"/>
        </w:rPr>
      </w:pPr>
      <w:r>
        <w:rPr>
          <w:rFonts w:hint="eastAsia" w:ascii="Calibri Light" w:hAnsi="Calibri Light" w:cs="宋体"/>
          <w:kern w:val="2"/>
          <w:highlight w:val="none"/>
        </w:rPr>
        <w:t>攻防</w:t>
      </w:r>
      <w:r>
        <w:rPr>
          <w:rStyle w:val="29"/>
          <w:rFonts w:hint="eastAsia" w:ascii="宋体" w:hAnsi="宋体" w:cs="宋体"/>
          <w:kern w:val="0"/>
          <w:highlight w:val="none"/>
        </w:rPr>
        <w:t>演练支持服务</w:t>
      </w:r>
    </w:p>
    <w:p w14:paraId="7CB97C98">
      <w:pPr>
        <w:pStyle w:val="5"/>
        <w:numPr>
          <w:ilvl w:val="1"/>
          <w:numId w:val="9"/>
        </w:numPr>
        <w:rPr>
          <w:rStyle w:val="29"/>
          <w:rFonts w:hint="eastAsia" w:ascii="宋体" w:hAnsi="宋体" w:cs="宋体"/>
          <w:kern w:val="0"/>
          <w:highlight w:val="none"/>
        </w:rPr>
      </w:pPr>
      <w:r>
        <w:rPr>
          <w:rFonts w:hint="eastAsia" w:ascii="Calibri Light" w:hAnsi="Calibri Light" w:cs="宋体"/>
          <w:kern w:val="2"/>
          <w:highlight w:val="none"/>
        </w:rPr>
        <w:t>网络</w:t>
      </w:r>
      <w:r>
        <w:rPr>
          <w:rStyle w:val="29"/>
          <w:rFonts w:hint="eastAsia" w:ascii="宋体" w:hAnsi="宋体" w:cs="宋体"/>
          <w:kern w:val="0"/>
          <w:highlight w:val="none"/>
        </w:rPr>
        <w:t>及安全设备故障技术支持服务</w:t>
      </w:r>
    </w:p>
    <w:p w14:paraId="69CAB527">
      <w:pPr>
        <w:numPr>
          <w:ilvl w:val="0"/>
          <w:numId w:val="0"/>
        </w:numPr>
        <w:spacing w:line="360" w:lineRule="auto"/>
        <w:ind w:leftChars="0"/>
        <w:rPr>
          <w:rFonts w:hint="eastAsia" w:ascii="Calibri" w:hAnsi="Calibri" w:eastAsia="宋体" w:cs="宋体"/>
          <w:sz w:val="21"/>
          <w:szCs w:val="24"/>
          <w:highlight w:val="none"/>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7112C">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14:paraId="2CC338C8">
                          <w:pPr>
                            <w:pStyle w:val="10"/>
                          </w:pPr>
                          <w:r>
                            <w:fldChar w:fldCharType="begin"/>
                          </w:r>
                          <w:r>
                            <w:instrText xml:space="preserve"> PAGE  \* MERGEFORMAT </w:instrText>
                          </w:r>
                          <w:r>
                            <w:fldChar w:fldCharType="separate"/>
                          </w:r>
                          <w:r>
                            <w:t>19</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7ztQ9IBAACrAwAADgAAAAAAAAABACAAAAAfAQAA&#10;ZHJzL2Uyb0RvYy54bWxQSwUGAAAAAAYABgBZAQAAYwUAAAAA&#10;">
              <v:fill on="f" focussize="0,0"/>
              <v:stroke on="f"/>
              <v:imagedata o:title=""/>
              <o:lock v:ext="edit" aspectratio="f"/>
              <v:textbox inset="0mm,0mm,0mm,0mm" style="mso-fit-shape-to-text:t;">
                <w:txbxContent>
                  <w:p w14:paraId="2CC338C8">
                    <w:pPr>
                      <w:pStyle w:val="10"/>
                    </w:pPr>
                    <w:r>
                      <w:fldChar w:fldCharType="begin"/>
                    </w:r>
                    <w:r>
                      <w:instrText xml:space="preserve"> PAGE  \* MERGEFORMAT </w:instrText>
                    </w:r>
                    <w:r>
                      <w:fldChar w:fldCharType="separate"/>
                    </w:r>
                    <w:r>
                      <w:t>19</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87CF45"/>
    <w:multiLevelType w:val="singleLevel"/>
    <w:tmpl w:val="A087CF45"/>
    <w:lvl w:ilvl="0" w:tentative="0">
      <w:start w:val="1"/>
      <w:numFmt w:val="decimal"/>
      <w:lvlText w:val="(%1)"/>
      <w:lvlJc w:val="left"/>
      <w:pPr>
        <w:ind w:left="425" w:hanging="425"/>
      </w:pPr>
      <w:rPr>
        <w:rFonts w:hint="default"/>
      </w:rPr>
    </w:lvl>
  </w:abstractNum>
  <w:abstractNum w:abstractNumId="1">
    <w:nsid w:val="CDF98922"/>
    <w:multiLevelType w:val="singleLevel"/>
    <w:tmpl w:val="CDF98922"/>
    <w:lvl w:ilvl="0" w:tentative="0">
      <w:start w:val="6"/>
      <w:numFmt w:val="chineseCounting"/>
      <w:suff w:val="nothing"/>
      <w:lvlText w:val="%1、"/>
      <w:lvlJc w:val="left"/>
      <w:rPr>
        <w:rFonts w:hint="eastAsia"/>
      </w:rPr>
    </w:lvl>
  </w:abstractNum>
  <w:abstractNum w:abstractNumId="2">
    <w:nsid w:val="00000002"/>
    <w:multiLevelType w:val="multilevel"/>
    <w:tmpl w:val="00000002"/>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pStyle w:val="6"/>
      <w:suff w:val="nothing"/>
      <w:lvlText w:val="（%3）"/>
      <w:lvlJc w:val="left"/>
      <w:pPr>
        <w:tabs>
          <w:tab w:val="left" w:pos="0"/>
        </w:tabs>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3">
    <w:nsid w:val="00000009"/>
    <w:multiLevelType w:val="multilevel"/>
    <w:tmpl w:val="00000009"/>
    <w:lvl w:ilvl="0" w:tentative="0">
      <w:start w:val="1"/>
      <w:numFmt w:val="chineseCounting"/>
      <w:suff w:val="nothing"/>
      <w:lvlText w:val="%1、"/>
      <w:lvlJc w:val="left"/>
      <w:pPr>
        <w:ind w:left="0" w:firstLine="400"/>
      </w:pPr>
      <w:rPr>
        <w:rFonts w:hint="eastAsia"/>
      </w:rPr>
    </w:lvl>
    <w:lvl w:ilvl="1" w:tentative="0">
      <w:start w:val="1"/>
      <w:numFmt w:val="decimal"/>
      <w:pStyle w:val="5"/>
      <w:suff w:val="nothing"/>
      <w:lvlText w:val="%2．"/>
      <w:lvlJc w:val="left"/>
      <w:pPr>
        <w:tabs>
          <w:tab w:val="left" w:pos="0"/>
        </w:tabs>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4">
    <w:nsid w:val="19C6E830"/>
    <w:multiLevelType w:val="singleLevel"/>
    <w:tmpl w:val="19C6E830"/>
    <w:lvl w:ilvl="0" w:tentative="0">
      <w:start w:val="1"/>
      <w:numFmt w:val="decimal"/>
      <w:lvlText w:val="(%1)"/>
      <w:lvlJc w:val="left"/>
      <w:pPr>
        <w:ind w:left="425" w:hanging="425"/>
      </w:pPr>
      <w:rPr>
        <w:rFonts w:hint="default"/>
      </w:rPr>
    </w:lvl>
  </w:abstractNum>
  <w:abstractNum w:abstractNumId="5">
    <w:nsid w:val="2821CC48"/>
    <w:multiLevelType w:val="singleLevel"/>
    <w:tmpl w:val="2821CC48"/>
    <w:lvl w:ilvl="0" w:tentative="0">
      <w:start w:val="8"/>
      <w:numFmt w:val="chineseCounting"/>
      <w:suff w:val="nothing"/>
      <w:lvlText w:val="%1、"/>
      <w:lvlJc w:val="left"/>
      <w:rPr>
        <w:rFonts w:hint="eastAsia"/>
      </w:rPr>
    </w:lvl>
  </w:abstractNum>
  <w:num w:numId="1">
    <w:abstractNumId w:val="3"/>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 w:name="KSO_WPS_MARK_KEY" w:val="6200d23a-57ff-4870-92c1-e47bb2873cb4"/>
  </w:docVars>
  <w:rsids>
    <w:rsidRoot w:val="00B153F4"/>
    <w:rsid w:val="00071A15"/>
    <w:rsid w:val="00083612"/>
    <w:rsid w:val="000C4A68"/>
    <w:rsid w:val="0014604A"/>
    <w:rsid w:val="00170FCE"/>
    <w:rsid w:val="001764DF"/>
    <w:rsid w:val="001976FD"/>
    <w:rsid w:val="001C5F64"/>
    <w:rsid w:val="001F0477"/>
    <w:rsid w:val="001F0A47"/>
    <w:rsid w:val="0020765F"/>
    <w:rsid w:val="00207FAE"/>
    <w:rsid w:val="00214568"/>
    <w:rsid w:val="00241665"/>
    <w:rsid w:val="002F3049"/>
    <w:rsid w:val="0037164A"/>
    <w:rsid w:val="003936E5"/>
    <w:rsid w:val="0040505F"/>
    <w:rsid w:val="00417EBF"/>
    <w:rsid w:val="004C2E41"/>
    <w:rsid w:val="004F34BD"/>
    <w:rsid w:val="00537145"/>
    <w:rsid w:val="00570407"/>
    <w:rsid w:val="00574561"/>
    <w:rsid w:val="005D0FFA"/>
    <w:rsid w:val="005F3EC7"/>
    <w:rsid w:val="006033EA"/>
    <w:rsid w:val="006034E0"/>
    <w:rsid w:val="00616B46"/>
    <w:rsid w:val="00621A4B"/>
    <w:rsid w:val="006876F5"/>
    <w:rsid w:val="006C1B42"/>
    <w:rsid w:val="006C6AC4"/>
    <w:rsid w:val="006C7D1D"/>
    <w:rsid w:val="006D12BE"/>
    <w:rsid w:val="0071041E"/>
    <w:rsid w:val="00715F4B"/>
    <w:rsid w:val="0073033E"/>
    <w:rsid w:val="0073209D"/>
    <w:rsid w:val="007405AF"/>
    <w:rsid w:val="0075438C"/>
    <w:rsid w:val="00772BB0"/>
    <w:rsid w:val="0077504B"/>
    <w:rsid w:val="008008E7"/>
    <w:rsid w:val="0081503C"/>
    <w:rsid w:val="00854BAE"/>
    <w:rsid w:val="00881C00"/>
    <w:rsid w:val="008B6A5A"/>
    <w:rsid w:val="008B7B01"/>
    <w:rsid w:val="00980100"/>
    <w:rsid w:val="009B4CE2"/>
    <w:rsid w:val="00A4554D"/>
    <w:rsid w:val="00A6630D"/>
    <w:rsid w:val="00AA3ABE"/>
    <w:rsid w:val="00AB66E8"/>
    <w:rsid w:val="00AB6AF4"/>
    <w:rsid w:val="00AF08F6"/>
    <w:rsid w:val="00B04555"/>
    <w:rsid w:val="00B10EF6"/>
    <w:rsid w:val="00B153F4"/>
    <w:rsid w:val="00B4646C"/>
    <w:rsid w:val="00BB062C"/>
    <w:rsid w:val="00BD7079"/>
    <w:rsid w:val="00BF05B6"/>
    <w:rsid w:val="00BF240D"/>
    <w:rsid w:val="00C352D4"/>
    <w:rsid w:val="00C452D4"/>
    <w:rsid w:val="00C7010E"/>
    <w:rsid w:val="00C91B93"/>
    <w:rsid w:val="00CD0355"/>
    <w:rsid w:val="00CE41D2"/>
    <w:rsid w:val="00D033DA"/>
    <w:rsid w:val="00D771BD"/>
    <w:rsid w:val="00D86A6F"/>
    <w:rsid w:val="00D96BE4"/>
    <w:rsid w:val="00DB3097"/>
    <w:rsid w:val="00DC43A4"/>
    <w:rsid w:val="00DF0D8D"/>
    <w:rsid w:val="00E267AD"/>
    <w:rsid w:val="00E4387F"/>
    <w:rsid w:val="00E83683"/>
    <w:rsid w:val="00E85680"/>
    <w:rsid w:val="00F074E6"/>
    <w:rsid w:val="00F135A8"/>
    <w:rsid w:val="00F15A38"/>
    <w:rsid w:val="00F928A7"/>
    <w:rsid w:val="00FC6911"/>
    <w:rsid w:val="00FF2B76"/>
    <w:rsid w:val="011473B7"/>
    <w:rsid w:val="018F4C90"/>
    <w:rsid w:val="01DA0D95"/>
    <w:rsid w:val="01EA1CD8"/>
    <w:rsid w:val="02144DDC"/>
    <w:rsid w:val="03563CB7"/>
    <w:rsid w:val="04602913"/>
    <w:rsid w:val="047416A1"/>
    <w:rsid w:val="04F57CBB"/>
    <w:rsid w:val="05B66C8F"/>
    <w:rsid w:val="05FF7D0B"/>
    <w:rsid w:val="06AE5BB8"/>
    <w:rsid w:val="072A6506"/>
    <w:rsid w:val="07725DBC"/>
    <w:rsid w:val="07D16002"/>
    <w:rsid w:val="0A1C0ED7"/>
    <w:rsid w:val="0D870F11"/>
    <w:rsid w:val="0ECA4B48"/>
    <w:rsid w:val="0ED168E7"/>
    <w:rsid w:val="0F336442"/>
    <w:rsid w:val="0F7179E5"/>
    <w:rsid w:val="0FDE2597"/>
    <w:rsid w:val="11987B90"/>
    <w:rsid w:val="12980B93"/>
    <w:rsid w:val="13EA1357"/>
    <w:rsid w:val="145833AD"/>
    <w:rsid w:val="168615CC"/>
    <w:rsid w:val="16A448E1"/>
    <w:rsid w:val="16BC3BA9"/>
    <w:rsid w:val="17E51656"/>
    <w:rsid w:val="18AD7CC4"/>
    <w:rsid w:val="1A1100AF"/>
    <w:rsid w:val="1AAF3EAA"/>
    <w:rsid w:val="1BD4133D"/>
    <w:rsid w:val="1C80194D"/>
    <w:rsid w:val="1CB03FE0"/>
    <w:rsid w:val="1D5A03F0"/>
    <w:rsid w:val="1D9C27B6"/>
    <w:rsid w:val="1E8C27A9"/>
    <w:rsid w:val="1F163C68"/>
    <w:rsid w:val="20751E4E"/>
    <w:rsid w:val="20D83B05"/>
    <w:rsid w:val="212E5E1B"/>
    <w:rsid w:val="21366A7E"/>
    <w:rsid w:val="213977FF"/>
    <w:rsid w:val="2191490B"/>
    <w:rsid w:val="21DE514B"/>
    <w:rsid w:val="21FC2972"/>
    <w:rsid w:val="221E19EC"/>
    <w:rsid w:val="236916A2"/>
    <w:rsid w:val="24596D0B"/>
    <w:rsid w:val="26070074"/>
    <w:rsid w:val="26613753"/>
    <w:rsid w:val="2705317A"/>
    <w:rsid w:val="27934C2A"/>
    <w:rsid w:val="28836A4D"/>
    <w:rsid w:val="28883602"/>
    <w:rsid w:val="28F16720"/>
    <w:rsid w:val="29930F11"/>
    <w:rsid w:val="2A94564F"/>
    <w:rsid w:val="2AAD6003"/>
    <w:rsid w:val="2B5F5E21"/>
    <w:rsid w:val="2C0E62CC"/>
    <w:rsid w:val="2E7D7B28"/>
    <w:rsid w:val="2EE01687"/>
    <w:rsid w:val="2F753FDB"/>
    <w:rsid w:val="30446AC1"/>
    <w:rsid w:val="30627A62"/>
    <w:rsid w:val="3152194C"/>
    <w:rsid w:val="31F048D4"/>
    <w:rsid w:val="32462D40"/>
    <w:rsid w:val="326467D8"/>
    <w:rsid w:val="3273368E"/>
    <w:rsid w:val="32CC2C57"/>
    <w:rsid w:val="33044C2E"/>
    <w:rsid w:val="344C063B"/>
    <w:rsid w:val="351B1DBB"/>
    <w:rsid w:val="35A86D87"/>
    <w:rsid w:val="366F0610"/>
    <w:rsid w:val="36C26529"/>
    <w:rsid w:val="36DE12F2"/>
    <w:rsid w:val="376161AB"/>
    <w:rsid w:val="37623CD1"/>
    <w:rsid w:val="392C4597"/>
    <w:rsid w:val="395047F1"/>
    <w:rsid w:val="39641F82"/>
    <w:rsid w:val="39BC1DBE"/>
    <w:rsid w:val="39BF540B"/>
    <w:rsid w:val="3B497682"/>
    <w:rsid w:val="3B7E300A"/>
    <w:rsid w:val="3BF515B8"/>
    <w:rsid w:val="3C2F148D"/>
    <w:rsid w:val="3C3976F6"/>
    <w:rsid w:val="3EC16355"/>
    <w:rsid w:val="3F391CAA"/>
    <w:rsid w:val="3F8C3FE1"/>
    <w:rsid w:val="403C77B5"/>
    <w:rsid w:val="41B11672"/>
    <w:rsid w:val="428F6B5B"/>
    <w:rsid w:val="433956D2"/>
    <w:rsid w:val="448B36F1"/>
    <w:rsid w:val="44AB4F09"/>
    <w:rsid w:val="44E64193"/>
    <w:rsid w:val="44F248E6"/>
    <w:rsid w:val="450A53B9"/>
    <w:rsid w:val="47514E0A"/>
    <w:rsid w:val="479056A2"/>
    <w:rsid w:val="489B28AD"/>
    <w:rsid w:val="498126DD"/>
    <w:rsid w:val="49B67271"/>
    <w:rsid w:val="4A986EAA"/>
    <w:rsid w:val="4B9D596D"/>
    <w:rsid w:val="4BAB26CB"/>
    <w:rsid w:val="4D5A571F"/>
    <w:rsid w:val="4D9675F7"/>
    <w:rsid w:val="4E2D1052"/>
    <w:rsid w:val="4EFB4CDF"/>
    <w:rsid w:val="516C2FA5"/>
    <w:rsid w:val="51B70936"/>
    <w:rsid w:val="51BD627C"/>
    <w:rsid w:val="52594527"/>
    <w:rsid w:val="527728CF"/>
    <w:rsid w:val="53B84F4D"/>
    <w:rsid w:val="568850AA"/>
    <w:rsid w:val="56DC52D0"/>
    <w:rsid w:val="572D42D7"/>
    <w:rsid w:val="57B74F64"/>
    <w:rsid w:val="57BB0C5B"/>
    <w:rsid w:val="57C03DF3"/>
    <w:rsid w:val="58E2576D"/>
    <w:rsid w:val="593A6404"/>
    <w:rsid w:val="59725B9E"/>
    <w:rsid w:val="5C6A64EB"/>
    <w:rsid w:val="5D131446"/>
    <w:rsid w:val="5E6B54CC"/>
    <w:rsid w:val="5F9B12E6"/>
    <w:rsid w:val="5FDD55AA"/>
    <w:rsid w:val="601E7691"/>
    <w:rsid w:val="605B738C"/>
    <w:rsid w:val="619C7D7F"/>
    <w:rsid w:val="62870A35"/>
    <w:rsid w:val="62D60F4C"/>
    <w:rsid w:val="6533534C"/>
    <w:rsid w:val="65B55598"/>
    <w:rsid w:val="66515A7D"/>
    <w:rsid w:val="67CE2897"/>
    <w:rsid w:val="687868B3"/>
    <w:rsid w:val="68F95443"/>
    <w:rsid w:val="69B22186"/>
    <w:rsid w:val="6B347157"/>
    <w:rsid w:val="6B3E7FD6"/>
    <w:rsid w:val="6D923789"/>
    <w:rsid w:val="6E5E1954"/>
    <w:rsid w:val="6E7A7577"/>
    <w:rsid w:val="6EC75DB8"/>
    <w:rsid w:val="723F6B0D"/>
    <w:rsid w:val="726360F3"/>
    <w:rsid w:val="735C36EF"/>
    <w:rsid w:val="7371593C"/>
    <w:rsid w:val="73E71844"/>
    <w:rsid w:val="750162FC"/>
    <w:rsid w:val="75A5137D"/>
    <w:rsid w:val="75FC6AC3"/>
    <w:rsid w:val="761633F6"/>
    <w:rsid w:val="7956298E"/>
    <w:rsid w:val="79AD67BD"/>
    <w:rsid w:val="79EF002E"/>
    <w:rsid w:val="7A541141"/>
    <w:rsid w:val="7A543372"/>
    <w:rsid w:val="7A9D4E24"/>
    <w:rsid w:val="7AD11C18"/>
    <w:rsid w:val="7D904168"/>
    <w:rsid w:val="7DFB1E7E"/>
    <w:rsid w:val="7EBA7219"/>
    <w:rsid w:val="7FCC7FEB"/>
    <w:rsid w:val="7FF76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4">
    <w:name w:val="heading 1"/>
    <w:basedOn w:val="1"/>
    <w:next w:val="1"/>
    <w:link w:val="21"/>
    <w:qFormat/>
    <w:uiPriority w:val="0"/>
    <w:pPr>
      <w:keepNext/>
      <w:keepLines/>
      <w:spacing w:before="340" w:after="330" w:line="576" w:lineRule="auto"/>
      <w:outlineLvl w:val="0"/>
    </w:pPr>
    <w:rPr>
      <w:b/>
      <w:kern w:val="44"/>
      <w:sz w:val="32"/>
    </w:rPr>
  </w:style>
  <w:style w:type="paragraph" w:styleId="5">
    <w:name w:val="heading 2"/>
    <w:basedOn w:val="1"/>
    <w:next w:val="1"/>
    <w:link w:val="22"/>
    <w:qFormat/>
    <w:uiPriority w:val="0"/>
    <w:pPr>
      <w:keepNext/>
      <w:keepLines/>
      <w:numPr>
        <w:ilvl w:val="1"/>
        <w:numId w:val="1"/>
      </w:numPr>
      <w:spacing w:line="360" w:lineRule="auto"/>
      <w:jc w:val="left"/>
      <w:outlineLvl w:val="1"/>
    </w:pPr>
    <w:rPr>
      <w:rFonts w:ascii="Calibri Light" w:hAnsi="Calibri Light"/>
      <w:b/>
      <w:bCs/>
      <w:sz w:val="30"/>
      <w:szCs w:val="32"/>
    </w:rPr>
  </w:style>
  <w:style w:type="paragraph" w:styleId="6">
    <w:name w:val="heading 3"/>
    <w:basedOn w:val="1"/>
    <w:next w:val="1"/>
    <w:link w:val="23"/>
    <w:qFormat/>
    <w:uiPriority w:val="0"/>
    <w:pPr>
      <w:keepNext/>
      <w:keepLines/>
      <w:numPr>
        <w:ilvl w:val="2"/>
        <w:numId w:val="2"/>
      </w:numPr>
      <w:spacing w:before="260" w:after="260" w:line="416" w:lineRule="auto"/>
      <w:outlineLvl w:val="2"/>
    </w:pPr>
    <w:rPr>
      <w:b/>
      <w:bCs/>
      <w:sz w:val="28"/>
      <w:szCs w:val="32"/>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0"/>
    <w:pPr>
      <w:spacing w:line="360" w:lineRule="auto"/>
      <w:ind w:firstLine="200" w:firstLineChars="200"/>
    </w:pPr>
  </w:style>
  <w:style w:type="paragraph" w:styleId="3">
    <w:name w:val="Body Text Indent"/>
    <w:basedOn w:val="1"/>
    <w:qFormat/>
    <w:uiPriority w:val="0"/>
    <w:pPr>
      <w:autoSpaceDE w:val="0"/>
      <w:autoSpaceDN w:val="0"/>
      <w:spacing w:line="480" w:lineRule="exact"/>
      <w:ind w:left="850" w:hanging="249"/>
    </w:pPr>
    <w:rPr>
      <w:rFonts w:ascii="仿宋_GB2312" w:eastAsia="仿宋_GB2312" w:hAnsiTheme="minorHAnsi" w:cstheme="minorBidi"/>
      <w:sz w:val="28"/>
      <w:szCs w:val="22"/>
    </w:rPr>
  </w:style>
  <w:style w:type="paragraph" w:styleId="7">
    <w:name w:val="annotation text"/>
    <w:basedOn w:val="1"/>
    <w:link w:val="31"/>
    <w:unhideWhenUsed/>
    <w:qFormat/>
    <w:uiPriority w:val="99"/>
    <w:pPr>
      <w:jc w:val="left"/>
    </w:pPr>
    <w:rPr>
      <w:rFonts w:asciiTheme="minorHAnsi" w:hAnsiTheme="minorHAnsi" w:eastAsiaTheme="minorEastAsia" w:cstheme="minorBidi"/>
      <w:szCs w:val="22"/>
    </w:rPr>
  </w:style>
  <w:style w:type="paragraph" w:styleId="8">
    <w:name w:val="Body Text"/>
    <w:basedOn w:val="1"/>
    <w:link w:val="24"/>
    <w:qFormat/>
    <w:uiPriority w:val="0"/>
    <w:pPr>
      <w:spacing w:after="120"/>
    </w:pPr>
  </w:style>
  <w:style w:type="paragraph" w:styleId="9">
    <w:name w:val="toc 3"/>
    <w:basedOn w:val="1"/>
    <w:next w:val="1"/>
    <w:qFormat/>
    <w:uiPriority w:val="39"/>
    <w:pPr>
      <w:ind w:left="840" w:leftChars="400"/>
    </w:pPr>
  </w:style>
  <w:style w:type="paragraph" w:styleId="10">
    <w:name w:val="footer"/>
    <w:basedOn w:val="1"/>
    <w:link w:val="25"/>
    <w:qFormat/>
    <w:uiPriority w:val="0"/>
    <w:pPr>
      <w:tabs>
        <w:tab w:val="center" w:pos="4153"/>
        <w:tab w:val="right" w:pos="8306"/>
      </w:tabs>
      <w:snapToGrid w:val="0"/>
      <w:jc w:val="left"/>
    </w:pPr>
    <w:rPr>
      <w:sz w:val="18"/>
    </w:rPr>
  </w:style>
  <w:style w:type="paragraph" w:styleId="11">
    <w:name w:val="header"/>
    <w:basedOn w:val="1"/>
    <w:link w:val="2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ind w:left="420" w:leftChars="200"/>
    </w:pPr>
  </w:style>
  <w:style w:type="paragraph" w:styleId="14">
    <w:name w:val="Normal (Web)"/>
    <w:basedOn w:val="1"/>
    <w:qFormat/>
    <w:uiPriority w:val="0"/>
    <w:pPr>
      <w:widowControl/>
      <w:spacing w:before="100" w:beforeAutospacing="1" w:after="100" w:afterAutospacing="1"/>
      <w:jc w:val="left"/>
    </w:pPr>
    <w:rPr>
      <w:rFonts w:ascii="宋体" w:hAnsi="宋体"/>
      <w:kern w:val="0"/>
      <w:sz w:val="24"/>
    </w:rPr>
  </w:style>
  <w:style w:type="paragraph" w:styleId="15">
    <w:name w:val="Body Text First Indent"/>
    <w:basedOn w:val="8"/>
    <w:link w:val="27"/>
    <w:qFormat/>
    <w:uiPriority w:val="0"/>
    <w:pPr>
      <w:ind w:firstLine="420" w:firstLineChars="100"/>
    </w:pPr>
  </w:style>
  <w:style w:type="table" w:styleId="17">
    <w:name w:val="Table Grid"/>
    <w:basedOn w:val="1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qFormat/>
    <w:uiPriority w:val="99"/>
    <w:rPr>
      <w:color w:val="0563C1"/>
      <w:u w:val="single"/>
    </w:rPr>
  </w:style>
  <w:style w:type="character" w:styleId="20">
    <w:name w:val="annotation reference"/>
    <w:basedOn w:val="18"/>
    <w:semiHidden/>
    <w:unhideWhenUsed/>
    <w:qFormat/>
    <w:uiPriority w:val="99"/>
    <w:rPr>
      <w:sz w:val="21"/>
      <w:szCs w:val="21"/>
    </w:rPr>
  </w:style>
  <w:style w:type="character" w:customStyle="1" w:styleId="21">
    <w:name w:val="标题 1 字符"/>
    <w:basedOn w:val="18"/>
    <w:link w:val="4"/>
    <w:qFormat/>
    <w:uiPriority w:val="0"/>
    <w:rPr>
      <w:rFonts w:ascii="Calibri" w:hAnsi="Calibri" w:eastAsia="宋体" w:cs="宋体"/>
      <w:b/>
      <w:kern w:val="44"/>
      <w:sz w:val="32"/>
      <w:szCs w:val="24"/>
    </w:rPr>
  </w:style>
  <w:style w:type="character" w:customStyle="1" w:styleId="22">
    <w:name w:val="标题 2 字符"/>
    <w:basedOn w:val="18"/>
    <w:link w:val="5"/>
    <w:qFormat/>
    <w:uiPriority w:val="0"/>
    <w:rPr>
      <w:rFonts w:ascii="Calibri Light" w:hAnsi="Calibri Light" w:eastAsia="宋体" w:cs="宋体"/>
      <w:b/>
      <w:bCs/>
      <w:sz w:val="30"/>
      <w:szCs w:val="32"/>
    </w:rPr>
  </w:style>
  <w:style w:type="character" w:customStyle="1" w:styleId="23">
    <w:name w:val="标题 3 字符"/>
    <w:basedOn w:val="18"/>
    <w:link w:val="6"/>
    <w:qFormat/>
    <w:uiPriority w:val="0"/>
    <w:rPr>
      <w:rFonts w:ascii="Calibri" w:hAnsi="Calibri" w:eastAsia="宋体" w:cs="宋体"/>
      <w:b/>
      <w:bCs/>
      <w:sz w:val="28"/>
      <w:szCs w:val="32"/>
    </w:rPr>
  </w:style>
  <w:style w:type="character" w:customStyle="1" w:styleId="24">
    <w:name w:val="正文文本 字符"/>
    <w:basedOn w:val="18"/>
    <w:link w:val="8"/>
    <w:qFormat/>
    <w:uiPriority w:val="0"/>
    <w:rPr>
      <w:rFonts w:ascii="Calibri" w:hAnsi="Calibri" w:eastAsia="宋体" w:cs="宋体"/>
      <w:szCs w:val="24"/>
    </w:rPr>
  </w:style>
  <w:style w:type="character" w:customStyle="1" w:styleId="25">
    <w:name w:val="页脚 字符"/>
    <w:basedOn w:val="18"/>
    <w:link w:val="10"/>
    <w:qFormat/>
    <w:uiPriority w:val="0"/>
    <w:rPr>
      <w:rFonts w:ascii="Calibri" w:hAnsi="Calibri" w:eastAsia="宋体" w:cs="宋体"/>
      <w:sz w:val="18"/>
      <w:szCs w:val="24"/>
    </w:rPr>
  </w:style>
  <w:style w:type="character" w:customStyle="1" w:styleId="26">
    <w:name w:val="页眉 字符"/>
    <w:basedOn w:val="18"/>
    <w:link w:val="11"/>
    <w:qFormat/>
    <w:uiPriority w:val="0"/>
    <w:rPr>
      <w:rFonts w:ascii="Calibri" w:hAnsi="Calibri" w:eastAsia="宋体" w:cs="宋体"/>
      <w:sz w:val="18"/>
      <w:szCs w:val="24"/>
    </w:rPr>
  </w:style>
  <w:style w:type="character" w:customStyle="1" w:styleId="27">
    <w:name w:val="正文文本首行缩进 字符"/>
    <w:basedOn w:val="24"/>
    <w:link w:val="15"/>
    <w:qFormat/>
    <w:uiPriority w:val="0"/>
    <w:rPr>
      <w:rFonts w:ascii="Calibri" w:hAnsi="Calibri" w:eastAsia="宋体" w:cs="宋体"/>
      <w:szCs w:val="24"/>
    </w:rPr>
  </w:style>
  <w:style w:type="paragraph" w:styleId="28">
    <w:name w:val="List Paragraph"/>
    <w:basedOn w:val="1"/>
    <w:qFormat/>
    <w:uiPriority w:val="34"/>
    <w:pPr>
      <w:ind w:firstLine="420" w:firstLineChars="200"/>
    </w:pPr>
    <w:rPr>
      <w:rFonts w:cs="Times New Roman"/>
    </w:rPr>
  </w:style>
  <w:style w:type="character" w:customStyle="1" w:styleId="29">
    <w:name w:val="15"/>
    <w:basedOn w:val="18"/>
    <w:qFormat/>
    <w:uiPriority w:val="0"/>
    <w:rPr>
      <w:rFonts w:hint="default" w:ascii="Times New Roman" w:hAnsi="Times New Roman" w:eastAsia="宋体" w:cs="Times New Roman"/>
    </w:rPr>
  </w:style>
  <w:style w:type="paragraph" w:customStyle="1" w:styleId="30">
    <w:name w:val="建行正文"/>
    <w:basedOn w:val="15"/>
    <w:qFormat/>
    <w:uiPriority w:val="0"/>
    <w:pPr>
      <w:spacing w:line="360" w:lineRule="auto"/>
      <w:ind w:firstLine="100"/>
    </w:pPr>
    <w:rPr>
      <w:rFonts w:ascii="Times New Roman" w:hAnsi="Times New Roman" w:eastAsia="楷体_GB2312" w:cs="Times New Roman"/>
      <w:sz w:val="24"/>
    </w:rPr>
  </w:style>
  <w:style w:type="character" w:customStyle="1" w:styleId="31">
    <w:name w:val="批注文字 字符"/>
    <w:basedOn w:val="18"/>
    <w:link w:val="7"/>
    <w:qFormat/>
    <w:uiPriority w:val="99"/>
    <w:rPr>
      <w:kern w:val="2"/>
      <w:sz w:val="21"/>
      <w:szCs w:val="22"/>
    </w:rPr>
  </w:style>
  <w:style w:type="character" w:customStyle="1" w:styleId="32">
    <w:name w:val="font11"/>
    <w:basedOn w:val="18"/>
    <w:qFormat/>
    <w:uiPriority w:val="0"/>
    <w:rPr>
      <w:rFonts w:hint="eastAsia" w:ascii="宋体" w:hAnsi="宋体" w:eastAsia="宋体" w:cs="宋体"/>
      <w:color w:val="000000"/>
      <w:sz w:val="21"/>
      <w:szCs w:val="21"/>
      <w:u w:val="none"/>
    </w:rPr>
  </w:style>
  <w:style w:type="character" w:customStyle="1" w:styleId="33">
    <w:name w:val="font21"/>
    <w:basedOn w:val="18"/>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4271</Words>
  <Characters>4698</Characters>
  <Lines>194</Lines>
  <Paragraphs>54</Paragraphs>
  <TotalTime>186</TotalTime>
  <ScaleCrop>false</ScaleCrop>
  <LinksUpToDate>false</LinksUpToDate>
  <CharactersWithSpaces>4760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2024-02-28T10:21:00Z</dcterms:created>
  <dc:creator>banji-01</dc:creator>
  <cp:lastModifiedBy>jimmy</cp:lastModifiedBy>
  <dcterms:modified xsi:type="dcterms:W3CDTF">2026-05-09T02:41:24Z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D9476BF8662A4B80BF758CBE3C5A40CB_13</vt:lpwstr>
  </property>
  <property fmtid="{D5CDD505-2E9C-101B-9397-08002B2CF9AE}" pid="4" name="KSOTemplateDocerSaveRecord">
    <vt:lpwstr>eyJoZGlkIjoiZGQ4YmMxZTY3ODY0NWE3MDBmNTA5NzI3MjQwZDUzNzgiLCJ1c2VySWQiOiIxNDU5MTM0Njc4In0=</vt:lpwstr>
  </property>
</Properties>
</file>